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36"/>
          <w:lang w:eastAsia="zh-CN"/>
        </w:rPr>
      </w:pPr>
      <w:r>
        <w:rPr>
          <w:rFonts w:hint="eastAsia" w:ascii="方正小标宋简体" w:eastAsia="方正小标宋简体"/>
          <w:sz w:val="36"/>
          <w:lang w:val="en-US" w:eastAsia="zh-CN"/>
        </w:rPr>
        <w:t>工伤认定</w:t>
      </w:r>
      <w:r>
        <w:rPr>
          <w:rFonts w:hint="eastAsia" w:ascii="方正小标宋简体" w:eastAsia="方正小标宋简体"/>
          <w:sz w:val="36"/>
        </w:rPr>
        <w:t>文书送达地址确认书</w:t>
      </w:r>
      <w:r>
        <w:rPr>
          <w:rFonts w:hint="eastAsia" w:ascii="方正小标宋简体" w:eastAsia="方正小标宋简体"/>
          <w:sz w:val="36"/>
          <w:lang w:eastAsia="zh-CN"/>
        </w:rPr>
        <w:t>（</w:t>
      </w:r>
      <w:r>
        <w:rPr>
          <w:rFonts w:hint="eastAsia" w:ascii="方正小标宋简体" w:eastAsia="方正小标宋简体"/>
          <w:sz w:val="36"/>
          <w:lang w:val="en-US" w:eastAsia="zh-CN"/>
        </w:rPr>
        <w:t>单位</w:t>
      </w:r>
      <w:r>
        <w:rPr>
          <w:rFonts w:hint="eastAsia" w:ascii="方正小标宋简体" w:eastAsia="方正小标宋简体"/>
          <w:sz w:val="36"/>
          <w:lang w:eastAsia="zh-CN"/>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2048"/>
        <w:gridCol w:w="570"/>
        <w:gridCol w:w="1478"/>
        <w:gridCol w:w="2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2376" w:type="dxa"/>
            <w:vAlign w:val="center"/>
          </w:tcPr>
          <w:p>
            <w:pPr>
              <w:ind w:firstLine="480" w:firstLineChars="200"/>
              <w:rPr>
                <w:rFonts w:hint="default" w:ascii="楷体_GB2312" w:eastAsia="楷体_GB2312"/>
                <w:sz w:val="24"/>
                <w:szCs w:val="24"/>
                <w:lang w:val="en-US" w:eastAsia="zh-CN"/>
              </w:rPr>
            </w:pPr>
            <w:r>
              <w:rPr>
                <w:rFonts w:hint="eastAsia" w:ascii="楷体_GB2312" w:eastAsia="楷体_GB2312"/>
                <w:sz w:val="24"/>
                <w:szCs w:val="24"/>
                <w:lang w:val="en-US" w:eastAsia="zh-CN"/>
              </w:rPr>
              <w:t>用人单位名称</w:t>
            </w:r>
          </w:p>
        </w:tc>
        <w:tc>
          <w:tcPr>
            <w:tcW w:w="2048" w:type="dxa"/>
            <w:vAlign w:val="center"/>
          </w:tcPr>
          <w:p>
            <w:pPr>
              <w:jc w:val="center"/>
              <w:rPr>
                <w:rFonts w:ascii="楷体_GB2312" w:eastAsia="楷体_GB2312"/>
                <w:sz w:val="24"/>
                <w:szCs w:val="24"/>
              </w:rPr>
            </w:pPr>
          </w:p>
        </w:tc>
        <w:tc>
          <w:tcPr>
            <w:tcW w:w="2048" w:type="dxa"/>
            <w:gridSpan w:val="2"/>
            <w:vAlign w:val="center"/>
          </w:tcPr>
          <w:p>
            <w:pPr>
              <w:jc w:val="center"/>
              <w:rPr>
                <w:rFonts w:hint="default" w:ascii="楷体_GB2312" w:eastAsia="楷体_GB2312"/>
                <w:sz w:val="24"/>
                <w:szCs w:val="24"/>
                <w:lang w:val="en-US" w:eastAsia="zh-CN"/>
              </w:rPr>
            </w:pPr>
            <w:r>
              <w:rPr>
                <w:rFonts w:hint="eastAsia" w:ascii="楷体_GB2312" w:eastAsia="楷体_GB2312"/>
                <w:sz w:val="24"/>
                <w:szCs w:val="24"/>
                <w:lang w:val="en-US" w:eastAsia="zh-CN"/>
              </w:rPr>
              <w:t>统一社会信用代码</w:t>
            </w:r>
          </w:p>
        </w:tc>
        <w:tc>
          <w:tcPr>
            <w:tcW w:w="2050" w:type="dxa"/>
            <w:vAlign w:val="center"/>
          </w:tcPr>
          <w:p>
            <w:pPr>
              <w:jc w:val="center"/>
              <w:rPr>
                <w:rFonts w:ascii="楷体_GB2312" w:eastAsia="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2376" w:type="dxa"/>
            <w:vAlign w:val="center"/>
          </w:tcPr>
          <w:p>
            <w:pPr>
              <w:jc w:val="center"/>
              <w:rPr>
                <w:rFonts w:hint="default" w:ascii="楷体_GB2312" w:eastAsia="楷体_GB2312"/>
                <w:sz w:val="24"/>
                <w:szCs w:val="24"/>
                <w:lang w:val="en-US" w:eastAsia="zh-CN"/>
              </w:rPr>
            </w:pPr>
            <w:r>
              <w:rPr>
                <w:rFonts w:hint="eastAsia" w:ascii="楷体_GB2312" w:eastAsia="楷体_GB2312"/>
                <w:sz w:val="24"/>
                <w:szCs w:val="24"/>
                <w:lang w:val="en-US" w:eastAsia="zh-CN"/>
              </w:rPr>
              <w:t>公司法人</w:t>
            </w:r>
          </w:p>
        </w:tc>
        <w:tc>
          <w:tcPr>
            <w:tcW w:w="2048" w:type="dxa"/>
            <w:vAlign w:val="center"/>
          </w:tcPr>
          <w:p>
            <w:pPr>
              <w:jc w:val="center"/>
              <w:rPr>
                <w:rFonts w:ascii="楷体_GB2312" w:eastAsia="楷体_GB2312"/>
                <w:sz w:val="24"/>
                <w:szCs w:val="24"/>
              </w:rPr>
            </w:pPr>
          </w:p>
        </w:tc>
        <w:tc>
          <w:tcPr>
            <w:tcW w:w="2048" w:type="dxa"/>
            <w:gridSpan w:val="2"/>
            <w:vAlign w:val="center"/>
          </w:tcPr>
          <w:p>
            <w:pPr>
              <w:jc w:val="center"/>
              <w:rPr>
                <w:rFonts w:hint="default" w:ascii="楷体_GB2312" w:eastAsia="楷体_GB2312"/>
                <w:sz w:val="24"/>
                <w:szCs w:val="24"/>
                <w:lang w:val="en-US" w:eastAsia="zh-CN"/>
              </w:rPr>
            </w:pPr>
            <w:r>
              <w:rPr>
                <w:rFonts w:hint="eastAsia" w:ascii="楷体_GB2312" w:eastAsia="楷体_GB2312"/>
                <w:sz w:val="24"/>
                <w:szCs w:val="24"/>
                <w:lang w:val="en-US" w:eastAsia="zh-CN"/>
              </w:rPr>
              <w:t>联系电话</w:t>
            </w:r>
          </w:p>
        </w:tc>
        <w:tc>
          <w:tcPr>
            <w:tcW w:w="2050" w:type="dxa"/>
            <w:vAlign w:val="center"/>
          </w:tcPr>
          <w:p>
            <w:pPr>
              <w:jc w:val="center"/>
              <w:rPr>
                <w:rFonts w:ascii="楷体_GB2312" w:eastAsia="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2376" w:type="dxa"/>
            <w:vAlign w:val="center"/>
          </w:tcPr>
          <w:p>
            <w:pPr>
              <w:jc w:val="center"/>
              <w:rPr>
                <w:rFonts w:hint="default" w:ascii="楷体_GB2312" w:eastAsia="楷体_GB2312"/>
                <w:sz w:val="24"/>
                <w:szCs w:val="24"/>
                <w:lang w:val="en-US" w:eastAsia="zh-CN"/>
              </w:rPr>
            </w:pPr>
            <w:r>
              <w:rPr>
                <w:rFonts w:hint="eastAsia" w:ascii="楷体_GB2312" w:eastAsia="楷体_GB2312"/>
                <w:sz w:val="24"/>
                <w:szCs w:val="24"/>
                <w:lang w:val="en-US" w:eastAsia="zh-CN"/>
              </w:rPr>
              <w:t>委托代理人</w:t>
            </w:r>
          </w:p>
        </w:tc>
        <w:tc>
          <w:tcPr>
            <w:tcW w:w="2048" w:type="dxa"/>
            <w:vAlign w:val="center"/>
          </w:tcPr>
          <w:p>
            <w:pPr>
              <w:jc w:val="center"/>
              <w:rPr>
                <w:rFonts w:ascii="楷体_GB2312" w:eastAsia="楷体_GB2312"/>
                <w:sz w:val="24"/>
                <w:szCs w:val="24"/>
              </w:rPr>
            </w:pPr>
          </w:p>
        </w:tc>
        <w:tc>
          <w:tcPr>
            <w:tcW w:w="2048" w:type="dxa"/>
            <w:gridSpan w:val="2"/>
            <w:vAlign w:val="center"/>
          </w:tcPr>
          <w:p>
            <w:pPr>
              <w:jc w:val="center"/>
              <w:rPr>
                <w:rFonts w:ascii="楷体_GB2312" w:eastAsia="楷体_GB2312"/>
                <w:sz w:val="24"/>
                <w:szCs w:val="24"/>
              </w:rPr>
            </w:pPr>
            <w:r>
              <w:rPr>
                <w:rFonts w:hint="eastAsia" w:ascii="楷体_GB2312" w:eastAsia="楷体_GB2312"/>
                <w:sz w:val="24"/>
                <w:szCs w:val="24"/>
                <w:lang w:val="en-US" w:eastAsia="zh-CN"/>
              </w:rPr>
              <w:t>身份证号码</w:t>
            </w:r>
          </w:p>
        </w:tc>
        <w:tc>
          <w:tcPr>
            <w:tcW w:w="2050" w:type="dxa"/>
            <w:vAlign w:val="center"/>
          </w:tcPr>
          <w:p>
            <w:pPr>
              <w:jc w:val="center"/>
              <w:rPr>
                <w:rFonts w:ascii="楷体_GB2312" w:eastAsia="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2376" w:type="dxa"/>
            <w:vAlign w:val="center"/>
          </w:tcPr>
          <w:p>
            <w:pPr>
              <w:jc w:val="center"/>
              <w:rPr>
                <w:rFonts w:ascii="楷体_GB2312" w:eastAsia="楷体_GB2312"/>
                <w:sz w:val="24"/>
                <w:szCs w:val="24"/>
              </w:rPr>
            </w:pPr>
          </w:p>
          <w:p>
            <w:pPr>
              <w:ind w:firstLine="600" w:firstLineChars="250"/>
              <w:rPr>
                <w:rFonts w:ascii="楷体_GB2312" w:eastAsia="楷体_GB2312"/>
                <w:sz w:val="24"/>
                <w:szCs w:val="24"/>
              </w:rPr>
            </w:pPr>
            <w:r>
              <w:rPr>
                <w:rFonts w:hint="eastAsia" w:ascii="楷体_GB2312" w:eastAsia="楷体_GB2312"/>
                <w:sz w:val="24"/>
                <w:szCs w:val="24"/>
              </w:rPr>
              <w:t>告知事项</w:t>
            </w:r>
          </w:p>
        </w:tc>
        <w:tc>
          <w:tcPr>
            <w:tcW w:w="6146" w:type="dxa"/>
            <w:gridSpan w:val="4"/>
          </w:tcPr>
          <w:p>
            <w:pPr>
              <w:rPr>
                <w:rFonts w:ascii="楷体_GB2312" w:eastAsia="楷体_GB2312"/>
                <w:sz w:val="24"/>
                <w:szCs w:val="24"/>
              </w:rPr>
            </w:pPr>
            <w:r>
              <w:rPr>
                <w:rFonts w:hint="eastAsia" w:ascii="楷体_GB2312" w:eastAsia="楷体_GB2312"/>
                <w:sz w:val="24"/>
                <w:szCs w:val="24"/>
              </w:rPr>
              <w:t>1、为方便及时收到人力资源和社会保障局文书，保证配合人力资源和社会保局</w:t>
            </w:r>
            <w:r>
              <w:rPr>
                <w:rFonts w:hint="eastAsia" w:ascii="楷体_GB2312" w:eastAsia="楷体_GB2312"/>
                <w:sz w:val="24"/>
                <w:szCs w:val="24"/>
                <w:lang w:val="en-US" w:eastAsia="zh-CN"/>
              </w:rPr>
              <w:t>关于工伤认定事项的相关</w:t>
            </w:r>
            <w:r>
              <w:rPr>
                <w:rFonts w:hint="eastAsia" w:ascii="楷体_GB2312" w:eastAsia="楷体_GB2312"/>
                <w:sz w:val="24"/>
                <w:szCs w:val="24"/>
              </w:rPr>
              <w:t>工作。</w:t>
            </w:r>
          </w:p>
          <w:p>
            <w:pPr>
              <w:jc w:val="left"/>
              <w:rPr>
                <w:rFonts w:ascii="楷体_GB2312" w:eastAsia="楷体_GB2312"/>
                <w:sz w:val="24"/>
                <w:szCs w:val="24"/>
              </w:rPr>
            </w:pPr>
            <w:r>
              <w:rPr>
                <w:rFonts w:hint="eastAsia" w:ascii="楷体_GB2312" w:eastAsia="楷体_GB2312"/>
                <w:sz w:val="24"/>
                <w:szCs w:val="24"/>
              </w:rPr>
              <w:t>2、如果提供的地址不确切，或不及时告知变更后的地址，使文书无法送达或未及时送达，用人单位将自行承担由此可能产生的法律后果。</w:t>
            </w:r>
          </w:p>
          <w:p>
            <w:pPr>
              <w:jc w:val="center"/>
              <w:rPr>
                <w:rFonts w:ascii="楷体_GB2312" w:eastAsia="楷体_GB2312"/>
                <w:sz w:val="24"/>
                <w:szCs w:val="24"/>
              </w:rPr>
            </w:pPr>
            <w:r>
              <w:rPr>
                <w:rFonts w:hint="eastAsia" w:ascii="楷体_GB2312" w:eastAsia="楷体_GB2312"/>
                <w:sz w:val="24"/>
                <w:szCs w:val="24"/>
              </w:rPr>
              <w:t>3、为提高送达效率，可以采用传真、电子邮件等方式进行送达文书</w:t>
            </w:r>
            <w:r>
              <w:rPr>
                <w:rFonts w:hint="eastAsia" w:ascii="楷体_GB2312" w:eastAsia="楷体_GB2312"/>
                <w:sz w:val="24"/>
                <w:szCs w:val="24"/>
                <w:lang w:eastAsia="zh-CN"/>
              </w:rPr>
              <w:t>，</w:t>
            </w:r>
            <w:r>
              <w:rPr>
                <w:rFonts w:hint="eastAsia" w:ascii="楷体_GB2312" w:eastAsia="楷体_GB2312"/>
                <w:sz w:val="24"/>
                <w:szCs w:val="24"/>
              </w:rPr>
              <w:t>以发送方设备显</w:t>
            </w:r>
            <w:bookmarkStart w:id="0" w:name="_GoBack"/>
            <w:bookmarkEnd w:id="0"/>
            <w:r>
              <w:rPr>
                <w:rFonts w:hint="eastAsia" w:ascii="楷体_GB2312" w:eastAsia="楷体_GB2312"/>
                <w:sz w:val="24"/>
                <w:szCs w:val="24"/>
              </w:rPr>
              <w:t>示发送成功视为送达。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2376" w:type="dxa"/>
            <w:vMerge w:val="restart"/>
            <w:vAlign w:val="center"/>
          </w:tcPr>
          <w:p>
            <w:pPr>
              <w:jc w:val="left"/>
              <w:rPr>
                <w:rFonts w:ascii="楷体_GB2312" w:eastAsia="楷体_GB2312"/>
                <w:sz w:val="24"/>
                <w:szCs w:val="24"/>
              </w:rPr>
            </w:pPr>
          </w:p>
          <w:p>
            <w:pPr>
              <w:ind w:firstLine="240" w:firstLineChars="100"/>
              <w:jc w:val="center"/>
              <w:rPr>
                <w:rFonts w:ascii="楷体_GB2312" w:eastAsia="楷体_GB2312"/>
                <w:sz w:val="24"/>
                <w:szCs w:val="24"/>
              </w:rPr>
            </w:pPr>
            <w:r>
              <w:rPr>
                <w:rFonts w:hint="eastAsia" w:ascii="楷体_GB2312" w:eastAsia="楷体_GB2312"/>
                <w:sz w:val="24"/>
                <w:szCs w:val="24"/>
              </w:rPr>
              <w:t>送达</w:t>
            </w:r>
            <w:r>
              <w:rPr>
                <w:rFonts w:hint="eastAsia" w:ascii="楷体_GB2312" w:eastAsia="楷体_GB2312"/>
                <w:sz w:val="24"/>
                <w:szCs w:val="24"/>
                <w:lang w:val="en-US" w:eastAsia="zh-CN"/>
              </w:rPr>
              <w:t>人、</w:t>
            </w:r>
            <w:r>
              <w:rPr>
                <w:rFonts w:hint="eastAsia" w:ascii="楷体_GB2312" w:eastAsia="楷体_GB2312"/>
                <w:sz w:val="24"/>
                <w:szCs w:val="24"/>
              </w:rPr>
              <w:t>地址及方式确认</w:t>
            </w:r>
          </w:p>
        </w:tc>
        <w:tc>
          <w:tcPr>
            <w:tcW w:w="6146" w:type="dxa"/>
            <w:gridSpan w:val="4"/>
            <w:vAlign w:val="center"/>
          </w:tcPr>
          <w:p>
            <w:pPr>
              <w:jc w:val="left"/>
              <w:rPr>
                <w:rFonts w:hint="eastAsia" w:ascii="楷体_GB2312" w:eastAsia="楷体_GB2312"/>
                <w:sz w:val="24"/>
                <w:szCs w:val="24"/>
              </w:rPr>
            </w:pPr>
            <w:r>
              <w:rPr>
                <w:rFonts w:hint="eastAsia" w:ascii="楷体_GB2312" w:eastAsia="楷体_GB2312"/>
                <w:sz w:val="24"/>
                <w:szCs w:val="24"/>
              </w:rPr>
              <w:t>指定签收人：</w:t>
            </w:r>
          </w:p>
          <w:p>
            <w:pPr>
              <w:jc w:val="left"/>
              <w:rPr>
                <w:rFonts w:hint="eastAsia" w:ascii="楷体_GB2312" w:eastAsia="楷体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2376" w:type="dxa"/>
            <w:vMerge w:val="continue"/>
            <w:vAlign w:val="center"/>
          </w:tcPr>
          <w:p>
            <w:pPr>
              <w:jc w:val="center"/>
              <w:rPr>
                <w:rFonts w:ascii="楷体_GB2312" w:eastAsia="楷体_GB2312"/>
                <w:sz w:val="24"/>
                <w:szCs w:val="24"/>
              </w:rPr>
            </w:pPr>
          </w:p>
        </w:tc>
        <w:tc>
          <w:tcPr>
            <w:tcW w:w="2618" w:type="dxa"/>
            <w:gridSpan w:val="2"/>
            <w:vAlign w:val="center"/>
          </w:tcPr>
          <w:p>
            <w:pPr>
              <w:rPr>
                <w:rFonts w:ascii="楷体_GB2312" w:eastAsia="楷体_GB2312"/>
                <w:sz w:val="24"/>
                <w:szCs w:val="24"/>
              </w:rPr>
            </w:pPr>
            <w:r>
              <w:rPr>
                <w:rFonts w:hint="eastAsia" w:ascii="楷体_GB2312" w:eastAsia="楷体_GB2312"/>
                <w:sz w:val="24"/>
                <w:szCs w:val="24"/>
              </w:rPr>
              <w:t>证件类型：</w:t>
            </w:r>
          </w:p>
        </w:tc>
        <w:tc>
          <w:tcPr>
            <w:tcW w:w="3528" w:type="dxa"/>
            <w:gridSpan w:val="2"/>
            <w:vAlign w:val="center"/>
          </w:tcPr>
          <w:p>
            <w:pPr>
              <w:tabs>
                <w:tab w:val="center" w:pos="1428"/>
              </w:tabs>
              <w:rPr>
                <w:rFonts w:hint="default" w:ascii="楷体_GB2312" w:eastAsia="楷体_GB2312"/>
                <w:sz w:val="24"/>
                <w:szCs w:val="24"/>
                <w:lang w:val="en-US" w:eastAsia="zh-CN"/>
              </w:rPr>
            </w:pPr>
            <w:r>
              <w:rPr>
                <w:rFonts w:hint="eastAsia" w:ascii="楷体_GB2312" w:eastAsia="楷体_GB2312"/>
                <w:sz w:val="24"/>
                <w:szCs w:val="24"/>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vAlign w:val="center"/>
          </w:tcPr>
          <w:p>
            <w:pPr>
              <w:jc w:val="center"/>
              <w:rPr>
                <w:rFonts w:ascii="楷体_GB2312" w:eastAsia="楷体_GB2312"/>
                <w:sz w:val="24"/>
                <w:szCs w:val="24"/>
              </w:rPr>
            </w:pPr>
          </w:p>
        </w:tc>
        <w:tc>
          <w:tcPr>
            <w:tcW w:w="2618" w:type="dxa"/>
            <w:gridSpan w:val="2"/>
            <w:vAlign w:val="center"/>
          </w:tcPr>
          <w:p>
            <w:pPr>
              <w:rPr>
                <w:rFonts w:ascii="楷体_GB2312" w:eastAsia="楷体_GB2312"/>
                <w:sz w:val="24"/>
                <w:szCs w:val="24"/>
              </w:rPr>
            </w:pPr>
            <w:r>
              <w:rPr>
                <w:rFonts w:hint="eastAsia" w:ascii="楷体_GB2312" w:eastAsia="楷体_GB2312"/>
                <w:sz w:val="24"/>
                <w:szCs w:val="24"/>
              </w:rPr>
              <w:t>职位：</w:t>
            </w:r>
          </w:p>
        </w:tc>
        <w:tc>
          <w:tcPr>
            <w:tcW w:w="3528" w:type="dxa"/>
            <w:gridSpan w:val="2"/>
            <w:vAlign w:val="center"/>
          </w:tcPr>
          <w:p>
            <w:pPr>
              <w:rPr>
                <w:rFonts w:ascii="楷体_GB2312" w:eastAsia="楷体_GB2312"/>
                <w:sz w:val="24"/>
                <w:szCs w:val="24"/>
              </w:rPr>
            </w:pPr>
            <w:r>
              <w:rPr>
                <w:rFonts w:hint="eastAsia" w:ascii="楷体_GB2312" w:eastAsia="楷体_GB2312"/>
                <w:sz w:val="24"/>
                <w:szCs w:val="24"/>
              </w:rPr>
              <w:t>证件号码：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vAlign w:val="center"/>
          </w:tcPr>
          <w:p>
            <w:pPr>
              <w:jc w:val="center"/>
              <w:rPr>
                <w:rFonts w:ascii="楷体_GB2312" w:eastAsia="楷体_GB2312"/>
                <w:sz w:val="24"/>
                <w:szCs w:val="24"/>
              </w:rPr>
            </w:pPr>
          </w:p>
        </w:tc>
        <w:tc>
          <w:tcPr>
            <w:tcW w:w="6146" w:type="dxa"/>
            <w:gridSpan w:val="4"/>
            <w:vAlign w:val="center"/>
          </w:tcPr>
          <w:p>
            <w:pPr>
              <w:rPr>
                <w:rFonts w:ascii="楷体_GB2312" w:eastAsia="楷体_GB2312"/>
                <w:sz w:val="24"/>
                <w:szCs w:val="24"/>
              </w:rPr>
            </w:pPr>
            <w:r>
              <w:rPr>
                <w:rFonts w:hint="eastAsia" w:ascii="楷体_GB2312" w:eastAsia="楷体_GB2312"/>
                <w:sz w:val="24"/>
                <w:szCs w:val="24"/>
              </w:rPr>
              <w:t>确认</w:t>
            </w:r>
            <w:r>
              <w:rPr>
                <w:rFonts w:hint="eastAsia" w:ascii="楷体_GB2312" w:eastAsia="楷体_GB2312"/>
                <w:sz w:val="24"/>
                <w:szCs w:val="24"/>
                <w:lang w:val="en-US" w:eastAsia="zh-CN"/>
              </w:rPr>
              <w:t>邮寄</w:t>
            </w:r>
            <w:r>
              <w:rPr>
                <w:rFonts w:hint="eastAsia" w:ascii="楷体_GB2312" w:eastAsia="楷体_GB2312"/>
                <w:sz w:val="24"/>
                <w:szCs w:val="24"/>
              </w:rPr>
              <w:t>送达地址：</w:t>
            </w:r>
          </w:p>
          <w:p>
            <w:pPr>
              <w:rPr>
                <w:rFonts w:ascii="楷体_GB2312" w:eastAsia="楷体_GB2312"/>
                <w:sz w:val="24"/>
                <w:szCs w:val="24"/>
              </w:rPr>
            </w:pPr>
          </w:p>
          <w:p>
            <w:pPr>
              <w:rPr>
                <w:rFonts w:ascii="楷体_GB2312" w:eastAsia="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vAlign w:val="center"/>
          </w:tcPr>
          <w:p>
            <w:pPr>
              <w:jc w:val="center"/>
              <w:rPr>
                <w:rFonts w:ascii="楷体_GB2312" w:eastAsia="楷体_GB2312"/>
                <w:sz w:val="24"/>
                <w:szCs w:val="24"/>
              </w:rPr>
            </w:pPr>
          </w:p>
        </w:tc>
        <w:tc>
          <w:tcPr>
            <w:tcW w:w="6146" w:type="dxa"/>
            <w:gridSpan w:val="4"/>
            <w:vAlign w:val="center"/>
          </w:tcPr>
          <w:p>
            <w:pPr>
              <w:ind w:firstLine="360" w:firstLineChars="150"/>
              <w:rPr>
                <w:rFonts w:hint="eastAsia" w:ascii="楷体_GB2312" w:eastAsia="楷体_GB2312"/>
                <w:sz w:val="24"/>
                <w:szCs w:val="24"/>
                <w:lang w:eastAsia="zh-CN"/>
              </w:rPr>
            </w:pPr>
            <w:r>
              <w:rPr>
                <w:rFonts w:hint="eastAsia" w:ascii="楷体_GB2312" w:eastAsia="楷体_GB2312"/>
                <w:sz w:val="24"/>
                <w:szCs w:val="24"/>
              </w:rPr>
              <w:t>是否接受电子送达</w:t>
            </w:r>
            <w:r>
              <w:rPr>
                <w:rFonts w:hint="eastAsia" w:ascii="楷体_GB2312" w:eastAsia="楷体_GB2312"/>
                <w:sz w:val="24"/>
                <w:szCs w:val="24"/>
                <w:lang w:eastAsia="zh-CN"/>
              </w:rPr>
              <w:t>：</w:t>
            </w:r>
            <w:r>
              <w:rPr>
                <w:rFonts w:hint="eastAsia" w:ascii="楷体_GB2312" w:eastAsia="楷体_GB2312"/>
                <w:sz w:val="24"/>
                <w:szCs w:val="24"/>
                <w:lang w:val="en-US" w:eastAsia="zh-CN"/>
              </w:rPr>
              <w:t xml:space="preserve">     </w:t>
            </w:r>
            <w:r>
              <w:rPr>
                <w:rFonts w:hint="eastAsia" w:ascii="楷体_GB2312" w:eastAsia="楷体_GB2312"/>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vAlign w:val="center"/>
          </w:tcPr>
          <w:p>
            <w:pPr>
              <w:jc w:val="center"/>
              <w:rPr>
                <w:rFonts w:ascii="楷体_GB2312" w:eastAsia="楷体_GB2312"/>
                <w:sz w:val="24"/>
                <w:szCs w:val="24"/>
              </w:rPr>
            </w:pPr>
          </w:p>
        </w:tc>
        <w:tc>
          <w:tcPr>
            <w:tcW w:w="2618" w:type="dxa"/>
            <w:gridSpan w:val="2"/>
            <w:vMerge w:val="restart"/>
            <w:vAlign w:val="top"/>
          </w:tcPr>
          <w:p>
            <w:pPr>
              <w:jc w:val="left"/>
              <w:rPr>
                <w:rFonts w:ascii="楷体_GB2312" w:eastAsia="楷体_GB2312"/>
                <w:sz w:val="24"/>
                <w:szCs w:val="24"/>
              </w:rPr>
            </w:pPr>
            <w:r>
              <w:rPr>
                <w:rFonts w:hint="eastAsia" w:ascii="楷体_GB2312" w:eastAsia="楷体_GB2312"/>
                <w:sz w:val="24"/>
                <w:szCs w:val="24"/>
              </w:rPr>
              <w:t>其他联系方式：</w:t>
            </w:r>
          </w:p>
        </w:tc>
        <w:tc>
          <w:tcPr>
            <w:tcW w:w="3528" w:type="dxa"/>
            <w:gridSpan w:val="2"/>
            <w:vAlign w:val="center"/>
          </w:tcPr>
          <w:p>
            <w:pPr>
              <w:rPr>
                <w:rFonts w:ascii="楷体_GB2312" w:eastAsia="楷体_GB2312"/>
                <w:sz w:val="24"/>
                <w:szCs w:val="24"/>
              </w:rPr>
            </w:pPr>
            <w:r>
              <w:rPr>
                <w:rFonts w:hint="eastAsia" w:ascii="楷体_GB2312" w:eastAsia="楷体_GB2312"/>
                <w:sz w:val="24"/>
                <w:szCs w:val="24"/>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vAlign w:val="center"/>
          </w:tcPr>
          <w:p>
            <w:pPr>
              <w:jc w:val="center"/>
              <w:rPr>
                <w:rFonts w:ascii="楷体_GB2312" w:eastAsia="楷体_GB2312"/>
                <w:sz w:val="24"/>
                <w:szCs w:val="24"/>
              </w:rPr>
            </w:pPr>
          </w:p>
        </w:tc>
        <w:tc>
          <w:tcPr>
            <w:tcW w:w="2618" w:type="dxa"/>
            <w:gridSpan w:val="2"/>
            <w:vMerge w:val="continue"/>
            <w:vAlign w:val="center"/>
          </w:tcPr>
          <w:p>
            <w:pPr>
              <w:jc w:val="center"/>
              <w:rPr>
                <w:rFonts w:ascii="楷体_GB2312" w:eastAsia="楷体_GB2312"/>
                <w:sz w:val="24"/>
                <w:szCs w:val="24"/>
              </w:rPr>
            </w:pPr>
          </w:p>
        </w:tc>
        <w:tc>
          <w:tcPr>
            <w:tcW w:w="3528" w:type="dxa"/>
            <w:gridSpan w:val="2"/>
            <w:vAlign w:val="center"/>
          </w:tcPr>
          <w:p>
            <w:pPr>
              <w:rPr>
                <w:rFonts w:ascii="楷体_GB2312" w:eastAsia="楷体_GB2312"/>
                <w:sz w:val="24"/>
                <w:szCs w:val="24"/>
              </w:rPr>
            </w:pPr>
            <w:r>
              <w:rPr>
                <w:rFonts w:hint="eastAsia" w:ascii="楷体_GB2312" w:eastAsia="楷体_GB2312"/>
                <w:sz w:val="24"/>
                <w:szCs w:val="24"/>
              </w:rPr>
              <w:t>传真号码：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vAlign w:val="center"/>
          </w:tcPr>
          <w:p>
            <w:pPr>
              <w:jc w:val="center"/>
              <w:rPr>
                <w:rFonts w:ascii="楷体_GB2312" w:eastAsia="楷体_GB2312"/>
                <w:sz w:val="24"/>
                <w:szCs w:val="24"/>
              </w:rPr>
            </w:pPr>
          </w:p>
        </w:tc>
        <w:tc>
          <w:tcPr>
            <w:tcW w:w="2618" w:type="dxa"/>
            <w:gridSpan w:val="2"/>
            <w:vMerge w:val="continue"/>
            <w:vAlign w:val="center"/>
          </w:tcPr>
          <w:p>
            <w:pPr>
              <w:jc w:val="center"/>
              <w:rPr>
                <w:rFonts w:ascii="楷体_GB2312" w:eastAsia="楷体_GB2312"/>
                <w:sz w:val="24"/>
                <w:szCs w:val="24"/>
              </w:rPr>
            </w:pPr>
          </w:p>
        </w:tc>
        <w:tc>
          <w:tcPr>
            <w:tcW w:w="3528" w:type="dxa"/>
            <w:gridSpan w:val="2"/>
            <w:vAlign w:val="center"/>
          </w:tcPr>
          <w:p>
            <w:pPr>
              <w:rPr>
                <w:rFonts w:ascii="楷体_GB2312" w:eastAsia="楷体_GB2312"/>
                <w:sz w:val="24"/>
                <w:szCs w:val="24"/>
              </w:rPr>
            </w:pPr>
            <w:r>
              <w:rPr>
                <w:rFonts w:hint="eastAsia" w:ascii="楷体_GB2312" w:eastAsia="楷体_GB2312"/>
                <w:sz w:val="24"/>
                <w:szCs w:val="24"/>
              </w:rPr>
              <w:t>电子邮件地址：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vAlign w:val="center"/>
          </w:tcPr>
          <w:p>
            <w:pPr>
              <w:jc w:val="center"/>
              <w:rPr>
                <w:rFonts w:ascii="楷体_GB2312" w:eastAsia="楷体_GB2312"/>
                <w:sz w:val="24"/>
                <w:szCs w:val="24"/>
              </w:rPr>
            </w:pPr>
          </w:p>
        </w:tc>
        <w:tc>
          <w:tcPr>
            <w:tcW w:w="2618" w:type="dxa"/>
            <w:gridSpan w:val="2"/>
            <w:vMerge w:val="continue"/>
            <w:vAlign w:val="center"/>
          </w:tcPr>
          <w:p>
            <w:pPr>
              <w:rPr>
                <w:rFonts w:ascii="楷体_GB2312" w:eastAsia="楷体_GB2312"/>
                <w:sz w:val="24"/>
                <w:szCs w:val="24"/>
              </w:rPr>
            </w:pPr>
          </w:p>
        </w:tc>
        <w:tc>
          <w:tcPr>
            <w:tcW w:w="3528" w:type="dxa"/>
            <w:gridSpan w:val="2"/>
            <w:vAlign w:val="center"/>
          </w:tcPr>
          <w:p>
            <w:pPr>
              <w:rPr>
                <w:rFonts w:hint="eastAsia" w:ascii="楷体_GB2312" w:eastAsia="楷体_GB2312"/>
                <w:sz w:val="24"/>
                <w:szCs w:val="24"/>
                <w:lang w:val="en-US" w:eastAsia="zh-CN"/>
              </w:rPr>
            </w:pPr>
            <w:r>
              <w:rPr>
                <w:rFonts w:hint="eastAsia" w:ascii="楷体_GB2312" w:eastAsia="楷体_GB2312"/>
                <w:sz w:val="24"/>
                <w:szCs w:val="24"/>
                <w:lang w:val="en-US" w:eastAsia="zh-CN"/>
              </w:rPr>
              <w:t>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vAlign w:val="center"/>
          </w:tcPr>
          <w:p>
            <w:pPr>
              <w:jc w:val="center"/>
              <w:rPr>
                <w:rFonts w:ascii="楷体_GB2312" w:eastAsia="楷体_GB2312"/>
                <w:sz w:val="24"/>
                <w:szCs w:val="24"/>
              </w:rPr>
            </w:pPr>
          </w:p>
        </w:tc>
        <w:tc>
          <w:tcPr>
            <w:tcW w:w="2618" w:type="dxa"/>
            <w:gridSpan w:val="2"/>
            <w:vMerge w:val="continue"/>
            <w:vAlign w:val="center"/>
          </w:tcPr>
          <w:p>
            <w:pPr>
              <w:rPr>
                <w:rFonts w:ascii="楷体_GB2312" w:eastAsia="楷体_GB2312"/>
                <w:sz w:val="24"/>
                <w:szCs w:val="24"/>
              </w:rPr>
            </w:pPr>
          </w:p>
        </w:tc>
        <w:tc>
          <w:tcPr>
            <w:tcW w:w="3528" w:type="dxa"/>
            <w:gridSpan w:val="2"/>
            <w:vAlign w:val="center"/>
          </w:tcPr>
          <w:p>
            <w:pPr>
              <w:rPr>
                <w:rFonts w:ascii="楷体_GB2312" w:eastAsia="楷体_GB2312"/>
                <w:sz w:val="24"/>
                <w:szCs w:val="24"/>
              </w:rPr>
            </w:pPr>
            <w:r>
              <w:rPr>
                <w:rFonts w:hint="eastAsia" w:ascii="楷体_GB2312" w:eastAsia="楷体_GB2312"/>
                <w:sz w:val="24"/>
                <w:szCs w:val="24"/>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3" w:hRule="atLeast"/>
        </w:trPr>
        <w:tc>
          <w:tcPr>
            <w:tcW w:w="2376" w:type="dxa"/>
            <w:vMerge w:val="continue"/>
            <w:vAlign w:val="center"/>
          </w:tcPr>
          <w:p>
            <w:pPr>
              <w:jc w:val="center"/>
              <w:rPr>
                <w:rFonts w:ascii="楷体_GB2312" w:eastAsia="楷体_GB2312"/>
                <w:sz w:val="24"/>
                <w:szCs w:val="24"/>
              </w:rPr>
            </w:pPr>
          </w:p>
        </w:tc>
        <w:tc>
          <w:tcPr>
            <w:tcW w:w="6146" w:type="dxa"/>
            <w:gridSpan w:val="4"/>
            <w:vAlign w:val="center"/>
          </w:tcPr>
          <w:p>
            <w:pPr>
              <w:jc w:val="left"/>
              <w:rPr>
                <w:rFonts w:ascii="楷体_GB2312" w:eastAsia="楷体_GB2312"/>
                <w:sz w:val="24"/>
                <w:szCs w:val="24"/>
              </w:rPr>
            </w:pPr>
            <w:r>
              <w:rPr>
                <w:rFonts w:hint="eastAsia" w:ascii="楷体_GB2312" w:eastAsia="楷体_GB2312"/>
                <w:sz w:val="24"/>
                <w:szCs w:val="24"/>
              </w:rPr>
              <w:t xml:space="preserve">   我已阅读(听明白)本确认书的告知事项，提供了上栏送达地址，确认了上述送达方式，并保证所提供的送达地址各项内容是正确的、有效的。如在配合调查过程中送达地址发生变化，将及时</w:t>
            </w:r>
            <w:r>
              <w:rPr>
                <w:rFonts w:hint="eastAsia" w:ascii="楷体_GB2312" w:eastAsia="楷体_GB2312"/>
                <w:sz w:val="24"/>
                <w:szCs w:val="24"/>
                <w:lang w:val="en-US" w:eastAsia="zh-CN"/>
              </w:rPr>
              <w:t>书面</w:t>
            </w:r>
            <w:r>
              <w:rPr>
                <w:rFonts w:hint="eastAsia" w:ascii="楷体_GB2312" w:eastAsia="楷体_GB2312"/>
                <w:sz w:val="24"/>
                <w:szCs w:val="24"/>
              </w:rPr>
              <w:t>通知人力资源和社会保障局。</w:t>
            </w:r>
          </w:p>
          <w:p>
            <w:pPr>
              <w:ind w:firstLine="1080" w:firstLineChars="450"/>
              <w:jc w:val="left"/>
              <w:rPr>
                <w:rFonts w:ascii="楷体_GB2312" w:eastAsia="楷体_GB2312"/>
                <w:sz w:val="24"/>
                <w:szCs w:val="24"/>
              </w:rPr>
            </w:pPr>
            <w:r>
              <w:rPr>
                <w:rFonts w:hint="eastAsia" w:ascii="楷体_GB2312" w:eastAsia="楷体_GB2312"/>
                <w:sz w:val="24"/>
                <w:szCs w:val="24"/>
              </w:rPr>
              <w:t>受送达人(签名或者盖章)：</w:t>
            </w:r>
          </w:p>
          <w:p>
            <w:pPr>
              <w:ind w:firstLine="2880" w:firstLineChars="1200"/>
              <w:jc w:val="left"/>
              <w:rPr>
                <w:rFonts w:ascii="楷体_GB2312" w:eastAsia="楷体_GB2312"/>
                <w:sz w:val="24"/>
                <w:szCs w:val="24"/>
              </w:rPr>
            </w:pPr>
            <w:r>
              <w:rPr>
                <w:rFonts w:hint="eastAsia" w:ascii="楷体_GB2312" w:eastAsia="楷体_GB2312"/>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376" w:type="dxa"/>
            <w:vAlign w:val="center"/>
          </w:tcPr>
          <w:p>
            <w:pPr>
              <w:jc w:val="center"/>
              <w:rPr>
                <w:rFonts w:ascii="楷体_GB2312" w:eastAsia="楷体_GB2312"/>
                <w:sz w:val="24"/>
                <w:szCs w:val="24"/>
              </w:rPr>
            </w:pPr>
            <w:r>
              <w:rPr>
                <w:rFonts w:hint="eastAsia" w:ascii="楷体_GB2312" w:eastAsia="楷体_GB2312"/>
                <w:sz w:val="24"/>
                <w:szCs w:val="24"/>
              </w:rPr>
              <w:t>备注</w:t>
            </w:r>
          </w:p>
        </w:tc>
        <w:tc>
          <w:tcPr>
            <w:tcW w:w="6146" w:type="dxa"/>
            <w:gridSpan w:val="4"/>
            <w:vAlign w:val="center"/>
          </w:tcPr>
          <w:p>
            <w:pPr>
              <w:jc w:val="center"/>
              <w:rPr>
                <w:rFonts w:ascii="楷体_GB2312" w:eastAsia="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376" w:type="dxa"/>
            <w:vAlign w:val="center"/>
          </w:tcPr>
          <w:p>
            <w:pPr>
              <w:jc w:val="center"/>
              <w:rPr>
                <w:rFonts w:ascii="楷体_GB2312" w:eastAsia="楷体_GB2312"/>
                <w:sz w:val="24"/>
                <w:szCs w:val="24"/>
              </w:rPr>
            </w:pPr>
            <w:r>
              <w:rPr>
                <w:rFonts w:hint="eastAsia" w:ascii="楷体_GB2312" w:eastAsia="楷体_GB2312"/>
                <w:sz w:val="24"/>
                <w:szCs w:val="24"/>
                <w:lang w:val="en-US" w:eastAsia="zh-CN"/>
              </w:rPr>
              <w:t>工作人员</w:t>
            </w:r>
            <w:r>
              <w:rPr>
                <w:rFonts w:hint="eastAsia" w:ascii="楷体_GB2312" w:eastAsia="楷体_GB2312"/>
                <w:sz w:val="24"/>
                <w:szCs w:val="24"/>
              </w:rPr>
              <w:t>签字</w:t>
            </w:r>
          </w:p>
        </w:tc>
        <w:tc>
          <w:tcPr>
            <w:tcW w:w="6146" w:type="dxa"/>
            <w:gridSpan w:val="4"/>
            <w:vAlign w:val="center"/>
          </w:tcPr>
          <w:p>
            <w:pPr>
              <w:jc w:val="center"/>
              <w:rPr>
                <w:rFonts w:ascii="楷体_GB2312" w:eastAsia="楷体_GB2312"/>
                <w:sz w:val="24"/>
                <w:szCs w:val="24"/>
              </w:rPr>
            </w:pPr>
          </w:p>
        </w:tc>
      </w:tr>
    </w:tbl>
    <w:p>
      <w:pPr>
        <w:rPr>
          <w:rFonts w:ascii="楷体_GB2312" w:eastAsia="楷体_GB2312"/>
          <w:sz w:val="24"/>
          <w:szCs w:val="24"/>
        </w:rPr>
      </w:pPr>
    </w:p>
    <w:p>
      <w:pPr>
        <w:pStyle w:val="11"/>
        <w:spacing w:after="289" w:afterLines="50"/>
      </w:pPr>
      <w:r>
        <w:rPr>
          <w:rFonts w:hint="eastAsia"/>
        </w:rPr>
        <w:t>送达程序相关法律规定告知书</w:t>
      </w:r>
    </w:p>
    <w:p>
      <w:pPr>
        <w:pStyle w:val="12"/>
        <w:spacing w:line="360" w:lineRule="exact"/>
        <w:ind w:firstLine="480" w:firstLineChars="200"/>
        <w:rPr>
          <w:rFonts w:ascii="黑体" w:hAnsi="黑体" w:eastAsia="黑体"/>
          <w:sz w:val="24"/>
          <w:szCs w:val="24"/>
        </w:rPr>
      </w:pPr>
      <w:r>
        <w:rPr>
          <w:rFonts w:hint="eastAsia" w:ascii="黑体" w:hAnsi="黑体" w:eastAsia="黑体"/>
          <w:sz w:val="24"/>
          <w:szCs w:val="24"/>
        </w:rPr>
        <w:t>《中华人民共和国民事诉讼法》第九十条</w:t>
      </w:r>
      <w:r>
        <w:rPr>
          <w:rFonts w:hint="eastAsia" w:ascii="黑体" w:hAnsi="黑体"/>
          <w:sz w:val="24"/>
          <w:szCs w:val="24"/>
        </w:rPr>
        <w:t>规定：“经受送达人同意，人民法院可以采用能够确认其收悉的电子方式送达诉讼文书。通过电子方式送达的判决书、裁定书、调解书，受送达人提出需要纸质文书的，人民法院应当提供。采用前款方式送达的，以送达信息到达受送达人特定系统的日期为送达日期”。</w:t>
      </w:r>
    </w:p>
    <w:p>
      <w:pPr>
        <w:pStyle w:val="12"/>
        <w:spacing w:line="360" w:lineRule="exact"/>
        <w:ind w:firstLine="480" w:firstLineChars="200"/>
        <w:rPr>
          <w:sz w:val="24"/>
          <w:szCs w:val="24"/>
        </w:rPr>
      </w:pPr>
      <w:r>
        <w:rPr>
          <w:rFonts w:hint="eastAsia" w:ascii="黑体" w:hAnsi="黑体" w:eastAsia="黑体"/>
          <w:sz w:val="24"/>
          <w:szCs w:val="24"/>
        </w:rPr>
        <w:t>《中华人民共和国行政诉讼法》第一百零一条</w:t>
      </w:r>
      <w:r>
        <w:rPr>
          <w:rFonts w:hint="eastAsia"/>
          <w:sz w:val="24"/>
          <w:szCs w:val="24"/>
        </w:rPr>
        <w:t>规定：“人民法院审理行政案件，关于期间、送达、财产保全、开庭审理、调解、中止诉讼、终结诉讼、简易程序、执行等，以及人民检察院对行政案件受理、审理、裁判、执行的监督，本法没有规定的，适用《中华人民共和国民事诉讼法》的相关规定”。</w:t>
      </w:r>
    </w:p>
    <w:p>
      <w:pPr>
        <w:pStyle w:val="12"/>
        <w:spacing w:line="360" w:lineRule="exact"/>
        <w:ind w:firstLine="480" w:firstLineChars="200"/>
        <w:rPr>
          <w:sz w:val="24"/>
          <w:szCs w:val="24"/>
        </w:rPr>
      </w:pPr>
      <w:r>
        <w:rPr>
          <w:rFonts w:hint="eastAsia" w:ascii="黑体" w:hAnsi="黑体" w:eastAsia="黑体"/>
          <w:sz w:val="24"/>
          <w:szCs w:val="24"/>
        </w:rPr>
        <w:t>《中华人民共和国行政处罚法》第六十一条</w:t>
      </w:r>
      <w:r>
        <w:rPr>
          <w:rFonts w:hint="eastAsia"/>
          <w:sz w:val="24"/>
          <w:szCs w:val="24"/>
        </w:rPr>
        <w:t>规定：“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pStyle w:val="12"/>
        <w:spacing w:line="360" w:lineRule="exact"/>
        <w:ind w:firstLine="480" w:firstLineChars="200"/>
        <w:rPr>
          <w:rFonts w:hint="eastAsia"/>
          <w:sz w:val="24"/>
          <w:szCs w:val="24"/>
        </w:rPr>
      </w:pPr>
      <w:r>
        <w:rPr>
          <w:rFonts w:hint="eastAsia" w:ascii="黑体" w:hAnsi="黑体" w:eastAsia="黑体"/>
          <w:sz w:val="24"/>
          <w:szCs w:val="24"/>
        </w:rPr>
        <w:t>《最高人民法院关于以法院专递方式邮寄送达民事诉讼文书的若干规定》（法释〔2004〕13号）第三条</w:t>
      </w:r>
      <w:r>
        <w:rPr>
          <w:rFonts w:hint="eastAsia"/>
          <w:sz w:val="24"/>
          <w:szCs w:val="24"/>
        </w:rPr>
        <w:t>规定：“当事人起诉或者答辩时应当向人民法院提供或者确认自己准确的送达地址，并填写送达地址确认书。当事人拒绝提供的，人民法院应当告知其拒不提供送达地址的不利后果，并记入笔录”。</w:t>
      </w:r>
    </w:p>
    <w:p>
      <w:pPr>
        <w:pStyle w:val="12"/>
        <w:spacing w:line="360" w:lineRule="exact"/>
        <w:ind w:firstLine="480" w:firstLineChars="200"/>
        <w:rPr>
          <w:rFonts w:hint="eastAsia"/>
          <w:sz w:val="24"/>
          <w:szCs w:val="24"/>
        </w:rPr>
      </w:pPr>
      <w:r>
        <w:rPr>
          <w:rFonts w:hint="eastAsia" w:ascii="黑体" w:hAnsi="黑体" w:eastAsia="黑体"/>
          <w:sz w:val="24"/>
          <w:szCs w:val="24"/>
        </w:rPr>
        <w:t>《最高人民法院印发〈关于进一步加强民事送达工作的若干意见〉的通知》（法发〔2017〕19号）第七条</w:t>
      </w:r>
      <w:r>
        <w:rPr>
          <w:rFonts w:hint="eastAsia"/>
          <w:sz w:val="24"/>
          <w:szCs w:val="24"/>
        </w:rPr>
        <w:t>规定：“因当事人提供的送达地址不准确、拒不提供送达地址、送达地址变更未书面告知人民法院，导致民事诉讼文书未能被受送达人实际接收的，直接送达的，民事诉讼文书留在该地址之日为送达之日；邮寄送达的，文书被退回之日为送达之日”。</w:t>
      </w:r>
    </w:p>
    <w:p>
      <w:pPr>
        <w:pStyle w:val="12"/>
        <w:spacing w:line="360" w:lineRule="exact"/>
        <w:ind w:firstLine="480" w:firstLineChars="200"/>
        <w:rPr>
          <w:sz w:val="24"/>
          <w:szCs w:val="24"/>
        </w:rPr>
      </w:pPr>
      <w:r>
        <w:rPr>
          <w:rFonts w:hint="eastAsia" w:ascii="黑体" w:hAnsi="黑体" w:eastAsia="黑体"/>
          <w:sz w:val="24"/>
          <w:szCs w:val="24"/>
        </w:rPr>
        <w:t>《最高人民法院印发〈关于进一步加强民事送达工作的若干意见〉的通知》（法发〔2017〕19号）第八条</w:t>
      </w:r>
      <w:r>
        <w:rPr>
          <w:rFonts w:hint="eastAsia"/>
          <w:sz w:val="24"/>
          <w:szCs w:val="24"/>
        </w:rPr>
        <w:t>规定：“当事人拒绝确认送达地址或以拒绝应诉、拒接电话、避而不见送达人员、搬离原住所等躲避、规避送达，人民法院不能或无法要求其确认送达地址的，可以分别以下列情形处理：（一）当事人在诉讼所涉及的合同、往来函件中对送达地址有明确约定的，以约定的地址为送达地址；（二）没有约定的，以当事人在诉讼中提交的书面材料中载明的自己的地址为送达地址；（三）没有约定、当事人也未提交书面材料或者书面材料中未载明地址的，以一年内进行其他诉讼、仲裁案件中提供的地址为送达地址；（四）无以上情形的，以当事人一年内进行民事活动时经常使用的地址为送达地址”。</w:t>
      </w:r>
    </w:p>
    <w:p>
      <w:pPr>
        <w:pStyle w:val="12"/>
        <w:spacing w:line="360" w:lineRule="exact"/>
        <w:ind w:firstLine="480" w:firstLineChars="200"/>
        <w:rPr>
          <w:rFonts w:ascii="楷体_GB2312" w:eastAsia="楷体_GB2312"/>
          <w:sz w:val="22"/>
          <w:szCs w:val="24"/>
        </w:rPr>
      </w:pPr>
      <w:r>
        <w:rPr>
          <w:rFonts w:hint="eastAsia" w:ascii="黑体" w:hAnsi="黑体" w:eastAsia="黑体"/>
          <w:sz w:val="24"/>
          <w:szCs w:val="24"/>
        </w:rPr>
        <w:t>《最高人民法院印发〈关于进一步加强民事送达工作的若干意见〉的通知》（法发〔2017〕19号）第九条</w:t>
      </w:r>
      <w:r>
        <w:rPr>
          <w:rFonts w:hint="eastAsia"/>
          <w:sz w:val="24"/>
          <w:szCs w:val="24"/>
        </w:rPr>
        <w:t>规定：“依第八条规定仍不能确认送达地址的，自然人以其户籍登记的住所或者在经常居住地登记的住址为送达地址，法人或者其他组织以其工商登记或其他依法登记、备案的住所地为送达地址”。</w:t>
      </w:r>
    </w:p>
    <w:p>
      <w:pPr>
        <w:wordWrap w:val="0"/>
        <w:rPr>
          <w:rFonts w:ascii="仿宋_GB2312" w:eastAsia="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zM2ViMDVhOWI0Y2ViODc4ZDliM2JlM2Y3MWU3YTYifQ=="/>
  </w:docVars>
  <w:rsids>
    <w:rsidRoot w:val="009975F9"/>
    <w:rsid w:val="000116FB"/>
    <w:rsid w:val="000E31C2"/>
    <w:rsid w:val="00140D0A"/>
    <w:rsid w:val="001E6DD6"/>
    <w:rsid w:val="00230EEA"/>
    <w:rsid w:val="002346E8"/>
    <w:rsid w:val="002F728F"/>
    <w:rsid w:val="003D252D"/>
    <w:rsid w:val="004A6EFD"/>
    <w:rsid w:val="006A61D2"/>
    <w:rsid w:val="007943BD"/>
    <w:rsid w:val="007D7735"/>
    <w:rsid w:val="00834E7C"/>
    <w:rsid w:val="008813EB"/>
    <w:rsid w:val="009163C2"/>
    <w:rsid w:val="00921CBF"/>
    <w:rsid w:val="009975F9"/>
    <w:rsid w:val="009E7E83"/>
    <w:rsid w:val="009F4992"/>
    <w:rsid w:val="00A33B3E"/>
    <w:rsid w:val="00A470CF"/>
    <w:rsid w:val="00AA01DC"/>
    <w:rsid w:val="00AC1E8F"/>
    <w:rsid w:val="00C400EC"/>
    <w:rsid w:val="00CA313F"/>
    <w:rsid w:val="00D2210C"/>
    <w:rsid w:val="00D44C64"/>
    <w:rsid w:val="00DD5BEA"/>
    <w:rsid w:val="00F50905"/>
    <w:rsid w:val="00FF4799"/>
    <w:rsid w:val="03261EB1"/>
    <w:rsid w:val="2CF33D07"/>
    <w:rsid w:val="58A35F9C"/>
    <w:rsid w:val="5BC31BCA"/>
    <w:rsid w:val="5BF424D5"/>
    <w:rsid w:val="5C212657"/>
    <w:rsid w:val="622336A4"/>
    <w:rsid w:val="624C4D00"/>
    <w:rsid w:val="6CC032E9"/>
    <w:rsid w:val="7F4807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semiHidden/>
    <w:unhideWhenUsed/>
    <w:uiPriority w:val="99"/>
    <w:pPr>
      <w:tabs>
        <w:tab w:val="center" w:pos="4153"/>
        <w:tab w:val="right" w:pos="8306"/>
      </w:tabs>
      <w:snapToGrid w:val="0"/>
      <w:jc w:val="left"/>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semiHidden/>
    <w:uiPriority w:val="99"/>
    <w:rPr>
      <w:sz w:val="18"/>
      <w:szCs w:val="18"/>
    </w:rPr>
  </w:style>
  <w:style w:type="character" w:customStyle="1" w:styleId="9">
    <w:name w:val="页脚 Char"/>
    <w:basedOn w:val="7"/>
    <w:link w:val="3"/>
    <w:semiHidden/>
    <w:uiPriority w:val="99"/>
    <w:rPr>
      <w:sz w:val="18"/>
      <w:szCs w:val="18"/>
    </w:rPr>
  </w:style>
  <w:style w:type="character" w:customStyle="1" w:styleId="10">
    <w:name w:val="标题 1 Char"/>
    <w:basedOn w:val="7"/>
    <w:link w:val="2"/>
    <w:uiPriority w:val="9"/>
    <w:rPr>
      <w:b/>
      <w:bCs/>
      <w:kern w:val="44"/>
      <w:sz w:val="44"/>
      <w:szCs w:val="44"/>
    </w:rPr>
  </w:style>
  <w:style w:type="paragraph" w:customStyle="1" w:styleId="11">
    <w:name w:val="公文:小标宋标题"/>
    <w:basedOn w:val="1"/>
    <w:next w:val="12"/>
    <w:qFormat/>
    <w:uiPriority w:val="1"/>
    <w:pPr>
      <w:jc w:val="center"/>
    </w:pPr>
    <w:rPr>
      <w:rFonts w:eastAsia="方正小标宋简体"/>
      <w:sz w:val="44"/>
    </w:rPr>
  </w:style>
  <w:style w:type="paragraph" w:customStyle="1" w:styleId="12">
    <w:name w:val="公文:正文"/>
    <w:basedOn w:val="1"/>
    <w:qFormat/>
    <w:uiPriority w:val="1"/>
    <w:pPr>
      <w:ind w:firstLine="641"/>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1569</Words>
  <Characters>1585</Characters>
  <Lines>6</Lines>
  <Paragraphs>1</Paragraphs>
  <TotalTime>8</TotalTime>
  <ScaleCrop>false</ScaleCrop>
  <LinksUpToDate>false</LinksUpToDate>
  <CharactersWithSpaces>1612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2021-04-25T01:56:00Z</dcterms:created>
  <dc:creator>HP</dc:creator>
  <cp:lastModifiedBy>Administrator</cp:lastModifiedBy>
  <cp:lastPrinted>2022-06-23T08:53:00Z</cp:lastPrinted>
  <dcterms:modified xsi:type="dcterms:W3CDTF">2022-06-23T09:05:13Z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AC5E244D6DCD4A28B2EA01691743A52B</vt:lpwstr>
  </property>
</Properties>
</file>