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both"/>
        <w:rPr>
          <w:rFonts w:ascii="楷体_GB2312" w:hAnsi="楷体_GB2312" w:cs="楷体_GB2312"/>
          <w:sz w:val="32"/>
          <w:szCs w:val="32"/>
        </w:rPr>
      </w:pPr>
      <w:r>
        <w:rPr>
          <w:rFonts w:cs="宋体"/>
          <w:sz w:val="32"/>
          <w:szCs w:val="32"/>
        </w:rPr>
        <w:t>项目一：</w:t>
      </w:r>
    </w:p>
    <w:p>
      <w:pPr>
        <w:spacing w:line="600" w:lineRule="exact"/>
        <w:jc w:val="both"/>
        <w:rPr>
          <w:rFonts w:hint="default" w:ascii="方正小标宋简体" w:hAnsi="方正小标宋简体" w:eastAsia="方正小标宋简体" w:cs="方正小标宋简体"/>
          <w:sz w:val="44"/>
          <w:szCs w:val="44"/>
        </w:rPr>
      </w:pPr>
      <w:r>
        <w:rPr>
          <w:rFonts w:cs="宋体"/>
          <w:sz w:val="44"/>
          <w:szCs w:val="44"/>
        </w:rPr>
        <w:t>报纸印刷用新闻纸项目支出绩效评价报告</w:t>
      </w:r>
    </w:p>
    <w:p>
      <w:pPr>
        <w:topLinePunct/>
        <w:spacing w:line="600" w:lineRule="exact"/>
        <w:ind w:firstLine="640" w:firstLineChars="200"/>
        <w:jc w:val="both"/>
        <w:rPr>
          <w:rFonts w:hint="default" w:eastAsia="黑体" w:cs="宋体"/>
          <w:sz w:val="32"/>
          <w:szCs w:val="32"/>
        </w:rPr>
      </w:pPr>
      <w:r>
        <w:rPr>
          <w:rFonts w:eastAsia="黑体" w:cs="宋体"/>
          <w:sz w:val="32"/>
          <w:szCs w:val="32"/>
        </w:rPr>
        <w:t xml:space="preserve"> </w:t>
      </w:r>
    </w:p>
    <w:p>
      <w:pPr>
        <w:topLinePunct/>
        <w:spacing w:line="600" w:lineRule="exact"/>
        <w:ind w:firstLine="640" w:firstLineChars="200"/>
        <w:jc w:val="both"/>
        <w:rPr>
          <w:rFonts w:hint="default" w:eastAsia="黑体" w:cs="宋体"/>
          <w:sz w:val="32"/>
          <w:szCs w:val="32"/>
        </w:rPr>
      </w:pPr>
      <w:r>
        <w:rPr>
          <w:rFonts w:ascii="黑体" w:eastAsia="黑体" w:cs="黑体"/>
          <w:sz w:val="32"/>
          <w:szCs w:val="32"/>
        </w:rPr>
        <w:t>一、项目基本情况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（一）项目概况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1.立项背景及目的</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昆明日报》是昆明市委机关报，创刊于1958年元旦。因全国新闻出版用纸供应紧张，昆明日报于1961年2月1日停刊，1985年8月1日复刊。一直以来，报社始终坚持政治家办报和正确舆论导向，自觉担负起举旗帜、聚民心、育新人、兴文化、展形象的使命任务，遵循“凝聚向上力量”办报理念，充分发挥党委政府与群众“连心桥”、社情民意“晴雨表”、为民服务“一面旗”的作用，围绕中心、服务大局，为昆明高质量推进区域性国际中心城市建设营造了良好舆论氛围。</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2022年，《昆明日报》每期编辑出版发行7.5万份、日均版数12版、年出版365期，始终围绕市委、市政府中心工作、重点工作做好宣传报道和舆论引导工作。</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3.资金来源及使用情况</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本项目资金来源为财政拨款，根据《昆明市财政局关于批复2022年部门预算的通知》，预算资金 400 万元，已于2022年 6 月份批复到位，已全部按照计划支出使用。</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4.组织及管理情况</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报社严格按照招投标相关法律法规的规定，依法对新闻纸进行采购，并严格按照国家新闻出版相关规定及《昆明日报采编出版规范》《昆明日报编前会制度》《昆明日报值班领导值班守则》和《昆明日报关于“双岗带班制”和“报道评估机制”的规定》等文件相关规定，围绕市委、市政府中心工作，做好新闻宣传和舆论引导、报纸出版工作。</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1.总目标</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以习近平新时代中国特色社会主义思想为指导，深入贯彻落实习近平总书记系列重要讲话精神和考察云南重要讲话精神、中央经济工作会议精神，按照市委十二次党代会的安排部署，团结动员全体干部职工，聚焦新发展目标，融入新发展格局，践行新发展理念，为全市经济社会发展营造更加良好的舆论氛围。</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2.年度目标</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2022年，坚决按照党中央和省委、市委的决策部署以及市委宣传部的工作安排，自觉担负起举旗帜、聚民心、育新人、兴文化、展形象的使命任务，推进新闻舆论、媒体融合、经营转型、改革创新以及党的建设等各项工作高质量发展，为全市经济社会发展营造良好舆论氛围。</w:t>
      </w:r>
    </w:p>
    <w:p>
      <w:pPr>
        <w:topLinePunct/>
        <w:spacing w:line="600" w:lineRule="exact"/>
        <w:ind w:firstLine="640" w:firstLineChars="200"/>
        <w:jc w:val="both"/>
        <w:rPr>
          <w:rFonts w:hint="default" w:eastAsia="黑体" w:cs="宋体"/>
          <w:sz w:val="32"/>
          <w:szCs w:val="32"/>
        </w:rPr>
      </w:pPr>
      <w:r>
        <w:rPr>
          <w:rFonts w:ascii="黑体" w:eastAsia="黑体" w:cs="黑体"/>
          <w:sz w:val="32"/>
          <w:szCs w:val="32"/>
        </w:rPr>
        <w:t>二、绩效评价工作情况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（一）绩效评价目的</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1.绩效评价目的</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通过对项目立项情况、资金使用情况、项目实施管理情况、项目绩效表现情况进行自我评价，有助于了解资金使用是否达到预期目标、资金管理和使用是否规范、有效，进而检验资金支出效率和效果，便于及时总结经验、分析存在的问题和原因，改进管理措施，完善工作机制，有效提高资金管理水平和使用效益</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2.项目资金到位情况分析</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 xml:space="preserve">根据《昆明市财政局关于批复2022年部门预算的通知》，本项目资金于2022年6月，批复到位400万元，为确保财政预算资金有效合理使用，提高资金使用效率，该项目资金实行专款专用，并于当月按招投标程序采购666.66吨，单价6000元新闻纸，共计400万元。 </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3.项目资金使用情况分析</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项目支出均有相关的授权审批，资金拨付严格审批程序，使用规范，会计核算结果真实、准确，未发现有截留、挤占或挪用项目资金的情况。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4.项目组织情况</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为确保项目保质保量地完成，昆明日报社严格按照操作程序实施项目管理。一是自觉接受上级部门、社会监督，提高项目质量。二是加强技术指导，进行项目日常自检管理。</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5.项目管理情况</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严格按照《昆明日报采编出版规范》《昆明日报编前会制度》《昆明日报值班领导值班守则》和《昆明日报关于“双岗带班制”和“报道评估机制”的规定》等文件规定，要求新闻采编、印务、发行、行政等相关部门，严格执行国家、行业法律法规及内部管理规定，从日常采编的每一个工作细节规范操作、严格审核，全力保证新闻信息发布安全有序。</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（二）绩效评价工作方案制定过程</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1.前期调研、研究文件</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通过调研，对相关文件的解读，根据绩效评价的基本原理、原则和项目特点，结合绩效目标，由绩效评价小组按确定的评价指标体系、评分标准、评价方法和相关的工作程序和步骤，在规定的时间节点内开展绩效评价工作。</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2.绩效评价指标体系及工作方案的设计</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本次绩效评价证据收集方法包括了：研究、分析项目预算部门提供的相关文件；整理、汇总项目预算单位提供的项目资料、工作总结和合同；根据预算部门提供的基础数据表逐项进行核实;根据项目服务对象填写的问卷调查结果汇总满意度情况。根据上述方法，从项目的立项合理性，目标的明确性，预算的准确性和管理制度的合规性等方面，对评价对象进行绩效评价。</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（三）绩效评价原则、评价方法</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1.绩效评价的原则</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（1）科学规范。绩效评价注重财政支出的经济性、效率性和有效性，严格执行规定的程序，采用定量与定性分析相结合的方法。</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（2）公正公开。绩效评价客观、公正，标准统一、资料可靠，依法公开。</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（3）绩效相关。绩效评价针对具体支出及其产出绩效进行评价,结果清晰反映支出和产出绩效之间的紧密对应关系。</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2.评价方法</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本次主要采用因素分析法，采取数据对比，标准和抽样调查相结合，同时辅以问卷抽查、资料研究等方法。</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（四）绩效评价实施过程</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项目组在前期调研的基础上，完成了项目绩效评价工作方案，设计了指标体系，评价标准，问卷调查方案等，明确了评价的目的、方法、评价的原则，项目组严格按照工作方案，通过调研、相关文件的解读、数据采集、问卷调查、数据分析、指标评分和报告撰写等环节,顺利完成了本次绩效评价工作。</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（1）在数据采集时，采取客观数据，负责部门审查，与问卷调查相结合的形式，以保证各项指标的真实性。</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（2）保证评价结果的真实性、公正性，提高评价报告的公信力。</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（3）绩效评价报告应当简明扼要，除了对绩效评价的过程，结果描述外，还应指出问题及可能存在的风险，并就共性问题提出可操作性改进建议。</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（五）绩效评价的局限性</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本着操作性强的原则，选择取数相对容易的指标构成指标体系，可能在一定程度上削弱指标对绩效目标的反映情况。</w:t>
      </w:r>
    </w:p>
    <w:p>
      <w:pPr>
        <w:topLinePunct/>
        <w:spacing w:line="600" w:lineRule="exact"/>
        <w:ind w:firstLine="640" w:firstLineChars="200"/>
        <w:jc w:val="both"/>
        <w:rPr>
          <w:rFonts w:hint="default" w:eastAsia="黑体" w:cs="宋体"/>
          <w:sz w:val="32"/>
          <w:szCs w:val="32"/>
        </w:rPr>
      </w:pPr>
      <w:r>
        <w:rPr>
          <w:rFonts w:ascii="黑体" w:eastAsia="黑体" w:cs="黑体"/>
          <w:sz w:val="32"/>
          <w:szCs w:val="32"/>
        </w:rPr>
        <w:t>三、评价结论和绩效分析</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本项目绩效目标根据部门绩效目标制定，真实有效地反映了部门的职能，并且绩效可考核。项目资金使用有效合理，有严格的财务及内控制度把关，没有超出预算范围使用的情况发生。项目绩效指标及时完成并且完成情况良好。</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2022年，报社以习近平新时代中国特色社会主义思想为指导，全面贯彻落实党的二十大精神，深入学习贯彻习近平总书记考察云南重要讲话精神，按照省委、市委的决策部署和市委宣传部的工作安排，自觉担负起举旗帜、聚民心、育新人、兴文化、展形象的使命任务，坚持守正创新，加快推进媒体深度融合发展，实施全媒体传播工程，做大做强新型主流媒体。</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（二）具体绩效分析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决策方面，项目与所属部门长期发展目标和工作性质相匹配，并在前期对项目可行性进行过调研，符合要求。项目绩效目标的制定紧扣副刊定位和操作实际，能完整反映项目预期产出和效果，绩效指标清晰、可衡量。自评分19.5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项目管理方面，预算编制围绕实际情况，在需要调整预算时严格按照相关规定执行，资金使用合理、规范、节约，资金拨付程序完整，没有出现截留、挤占或挪用项目资金的情况。自评分20分。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项目绩效方面，圆满完成各项目标，社会效益和宣传效益达到预期目标。自评分59分。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项目总评分98.5分。</w:t>
      </w:r>
    </w:p>
    <w:p>
      <w:pPr>
        <w:spacing w:line="600" w:lineRule="exact"/>
        <w:ind w:firstLine="640" w:firstLineChars="200"/>
        <w:jc w:val="both"/>
        <w:rPr>
          <w:rFonts w:hint="default" w:eastAsia="黑体" w:cs="宋体"/>
          <w:sz w:val="32"/>
          <w:szCs w:val="32"/>
        </w:rPr>
      </w:pPr>
      <w:r>
        <w:rPr>
          <w:rFonts w:ascii="黑体" w:eastAsia="黑体" w:cs="黑体"/>
          <w:sz w:val="32"/>
          <w:szCs w:val="32"/>
        </w:rPr>
        <w:t>四、成本效益分析</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1.项目的经济性分析</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在项目成本（预算）控制方面，主要从新闻纸的购进及印刷费、油墨、润版液等方面来控制，对项目相关的费用逐一列项，严格审查，在保证项目正常实施的情况下，节约各项开支。</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2.项目的效率性分析</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2022 年荣获省级新闻奖 77 件，创历史新高。</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3.项目有效性分析</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在省委宣传部（省新闻出版局）组织的2022年全省报纸（17家党报）质量抽查中，《昆明日报》报纸质量排名第一位。</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4.项目的可持续性分析</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当前和今后一段时间，昆明日报社及下属各媒体，将肩负起举旗帜、聚民心、育新人、兴文化、展形象的使命任务，紧紧围绕市委、市政府中心工作，弘扬主旋律、传播正能量，着力做好新闻宣传报道和舆论引导工作，为昆明高质量推进区域性国际中心城市建设营造良好舆论氛围。</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五、主要经验及做法</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1.必须把坚持党的全面领导作为首要遵循，坚决贯彻落实党中央、省委、市委以及市委宣传部的决策部署，充分发挥党委总揽全局、协调各方的领导作用，牢牢把握工作的正确方向。</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 xml:space="preserve">2.必须把解放思想作为行动先导，以开阔的视野、前瞻的思维、先进的发展理念引领实践、推动工作，积极应对全媒体时代的新挑战，抢抓媒体融合新机遇，闯出一条跨越式发展的路子来。 </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3.必须把加快发展作为第一要务，坚持稳中求进工作总基调，固本强基，加快转变发展方式，持续优化经营结构，推动全媒体经营更有效率、更有质量、更加公平、更可持续地发展。</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4.必须把提高员工福祉作为最大责任，坚持以人为本不偏离、为员工服务不懈怠，切实解决好广大干部员工最关心最直接最现实的利益问题，不断提升广大干部员工的获得感和幸福感。</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5.必须把全面从严治党作为根本保障，坚持党要管党、全面从严治党，以党的建设和党风廉政建设新成效，加快打造一支政治过硬、本领高强、求实创新、能打胜仗的新闻舆论“铁军”。</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六、存在的问题和改进措施</w:t>
      </w:r>
    </w:p>
    <w:p>
      <w:pPr>
        <w:spacing w:line="600" w:lineRule="exact"/>
        <w:ind w:firstLine="640"/>
        <w:jc w:val="both"/>
        <w:rPr>
          <w:rFonts w:hint="default" w:ascii="楷体" w:hAnsi="楷体" w:eastAsia="楷体" w:cs="楷体"/>
          <w:sz w:val="32"/>
          <w:szCs w:val="32"/>
        </w:rPr>
      </w:pPr>
      <w:r>
        <w:rPr>
          <w:rFonts w:ascii="楷体" w:hAnsi="楷体" w:eastAsia="楷体" w:cs="楷体"/>
          <w:sz w:val="32"/>
          <w:szCs w:val="32"/>
        </w:rPr>
        <w:t>（一）存在的问题</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1.虽然在西部地区省会城市党报中，媒体深度融合发展整体走在前列，但与广州、成都、杭州、南京等发达地区媒体“标兵”相比还有较大差距，急需走出云南、面向全国、辐射南亚东南亚。</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2.经济实力在西部城市党报中位居前列，但经济总量还不够大，存在媒体转型发展不平衡，有的单位、部门经营效益不好、经济实力不强、经营业态不优等问题。</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（二）建议和改进措施</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一是要坚定不移抓好重大主题宣传和成就报道，推动习近平新时代中国特色社会主义思想深入人心。</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二是要坚定不移推进媒体深度融合发展，不断提升传播力、引导力、影响力和公信力。</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三是要坚定不移走转型发展、高质量发展之路，进一步夯实集团整体实力。</w:t>
      </w:r>
    </w:p>
    <w:p>
      <w:pPr>
        <w:spacing w:line="600" w:lineRule="exact"/>
        <w:ind w:firstLine="640"/>
        <w:jc w:val="both"/>
        <w:rPr>
          <w:rFonts w:hint="default" w:ascii="仿宋" w:hAnsi="仿宋" w:eastAsia="仿宋" w:cs="仿宋"/>
          <w:sz w:val="32"/>
          <w:szCs w:val="32"/>
        </w:rPr>
      </w:pPr>
      <w:r>
        <w:rPr>
          <w:rFonts w:ascii="仿宋" w:hAnsi="仿宋" w:eastAsia="仿宋" w:cs="仿宋"/>
          <w:sz w:val="32"/>
          <w:szCs w:val="32"/>
        </w:rPr>
        <w:t>四是要坚定不移改革创新增活力，为集团发展提供坚强制度保障、人才保障。</w:t>
      </w:r>
    </w:p>
    <w:p>
      <w:pPr>
        <w:spacing w:line="600" w:lineRule="exact"/>
        <w:jc w:val="both"/>
        <w:rPr>
          <w:rFonts w:hint="default" w:eastAsia="黑体" w:cs="宋体"/>
          <w:sz w:val="32"/>
          <w:szCs w:val="32"/>
        </w:rPr>
      </w:pPr>
      <w:r>
        <w:rPr>
          <w:rFonts w:eastAsia="黑体" w:cs="宋体"/>
          <w:sz w:val="32"/>
          <w:szCs w:val="32"/>
        </w:rPr>
        <w:br w:type="page"/>
      </w:r>
      <w:r>
        <w:rPr>
          <w:rFonts w:cs="宋体"/>
          <w:sz w:val="32"/>
          <w:szCs w:val="32"/>
        </w:rPr>
        <w:t>项目二：</w:t>
      </w:r>
    </w:p>
    <w:p>
      <w:pPr>
        <w:spacing w:line="600" w:lineRule="exact"/>
        <w:jc w:val="center"/>
        <w:rPr>
          <w:rFonts w:hint="default" w:ascii="方正小标宋简体" w:hAnsi="方正小标宋简体" w:eastAsia="方正小标宋简体" w:cs="方正小标宋简体"/>
          <w:sz w:val="44"/>
          <w:szCs w:val="44"/>
        </w:rPr>
      </w:pPr>
      <w:r>
        <w:rPr>
          <w:rFonts w:cs="宋体"/>
          <w:sz w:val="44"/>
          <w:szCs w:val="44"/>
        </w:rPr>
        <w:t>《看昆明》外宣杂志编辑出版补助项目</w:t>
      </w:r>
    </w:p>
    <w:p>
      <w:pPr>
        <w:spacing w:line="600" w:lineRule="exact"/>
        <w:jc w:val="center"/>
        <w:rPr>
          <w:rFonts w:hint="default" w:ascii="方正小标宋简体" w:hAnsi="方正小标宋简体" w:eastAsia="方正小标宋简体" w:cs="方正小标宋简体"/>
          <w:sz w:val="44"/>
          <w:szCs w:val="44"/>
        </w:rPr>
      </w:pPr>
      <w:r>
        <w:rPr>
          <w:rFonts w:cs="宋体"/>
          <w:sz w:val="44"/>
          <w:szCs w:val="44"/>
        </w:rPr>
        <w:t>支出绩效自评报告</w:t>
      </w:r>
    </w:p>
    <w:p>
      <w:pPr>
        <w:spacing w:line="600" w:lineRule="exact"/>
        <w:ind w:firstLine="480" w:firstLineChars="200"/>
        <w:jc w:val="both"/>
        <w:rPr>
          <w:rFonts w:hint="default" w:ascii="黑体" w:eastAsia="黑体" w:cs="黑体"/>
        </w:rPr>
      </w:pPr>
      <w:r>
        <w:rPr>
          <w:rFonts w:ascii="黑体" w:eastAsia="黑体" w:cs="黑体"/>
        </w:rPr>
        <w:t xml:space="preserve"> </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一、项目基本情况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（一）项目概况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1.立项背景及目的</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认真贯彻落实全国、全省、全市宣传思想工作会议精神，创新新形势下外宣工作，着力壮大主流思想舆论，着力讲好昆明故事、传播春城声音、塑造城市形象，不断提高昆明的美誉度和吸引力，为加快把昆明建设成为立足西南、面向全国、辐射南亚东南亚的区域性国际中心城市营造良好国际舆论氛围。</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实施以来，每期杂志文图并茂讲好中国故事、云南故事、昆明故事，刊载反映“一带一路”倡议、“人类命运共同体”、生物多样性成就等重大主题的内容，刊载外国人笔下的昆明（文字作品）/外国人眼中的昆明（摄影作品）等特约稿件，杂志发行覆盖各高校留学生学院、涉外宾馆饭店、驻昆总领事馆等，同时开通“看昆明”微信公众号，进行线上宣传。</w:t>
      </w:r>
    </w:p>
    <w:p>
      <w:pPr>
        <w:topLinePunct/>
        <w:spacing w:line="600" w:lineRule="exact"/>
        <w:ind w:firstLine="420"/>
        <w:jc w:val="both"/>
        <w:rPr>
          <w:rFonts w:hint="default" w:ascii="仿宋" w:hAnsi="仿宋" w:eastAsia="仿宋" w:cs="仿宋"/>
          <w:sz w:val="32"/>
          <w:szCs w:val="32"/>
        </w:rPr>
      </w:pPr>
      <w:r>
        <w:rPr>
          <w:rFonts w:ascii="仿宋" w:hAnsi="仿宋" w:eastAsia="仿宋" w:cs="仿宋"/>
          <w:sz w:val="32"/>
          <w:szCs w:val="32"/>
        </w:rPr>
        <w:t>3.资金来源及使用情况。</w:t>
      </w:r>
    </w:p>
    <w:p>
      <w:pPr>
        <w:topLinePunct/>
        <w:spacing w:line="600" w:lineRule="exact"/>
        <w:ind w:firstLine="420"/>
        <w:jc w:val="both"/>
        <w:rPr>
          <w:rFonts w:hint="default" w:ascii="仿宋" w:hAnsi="仿宋" w:eastAsia="仿宋" w:cs="仿宋"/>
          <w:sz w:val="32"/>
          <w:szCs w:val="32"/>
        </w:rPr>
      </w:pPr>
      <w:r>
        <w:rPr>
          <w:rFonts w:ascii="仿宋" w:hAnsi="仿宋" w:eastAsia="仿宋" w:cs="仿宋"/>
          <w:sz w:val="32"/>
          <w:szCs w:val="32"/>
        </w:rPr>
        <w:t>市财政每年补助120万元，其余资金由昆明日报社自筹解决。</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4.组织及管理情况。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项目组织情况：《看昆明》杂志由昆明日报社按照新闻采编规范和流程，严格实施新闻采写规范制度、三审三校出版制度。</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项目实施流程：选题策划——选题审核——稿件采访——编辑——翻译——排版——中英文校对——审核——印刷——发行。</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资金拨付流程：资金拨付严格按照财务资金使用规范和昆明日报社财务管理相关流程执行。</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1.总目标</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创办外宣杂志《看昆明》，紧扣昆明正在主动服务和融入国家“一带一路”倡议、长江经济带建设等发展战略，以及昆明着力打造“六个春城”目标，立足昆明丰富的历史文化资源、多元的民族文化资源、优美的自然生态资源等独特资源，运用国际化理念、多元化手段、精准化传播，主动邀请南亚东南亚国家在昆留学生、驻昆领事馆官员、企业家等群体，以第一视角和第一感受描写昆明、赞美昆明、推介昆明，向南亚东南亚乃至全世界宣介开放、团结、美丽的昆明，不断提高昆明的影响力和竞争力。</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2.年度目标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产出目标：每年出版6期（含中、英），每期120页。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效果目标：积极探索与南亚东南亚国家主流媒体在新闻采编、稿件互换、版面互换、信息资源共享、技术共享等方面的交流合作，构筑长期稳定的媒体交流平台和机制，加强国际传播能力建设，更有效地影响和引导外部舆论，着力营造昆明高质量发展的良好外部舆论环境。</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二、绩效评价工作情况</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（一）绩效评价目的</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全面了解本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（二）绩效评价工作方案制定过程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1.前期调研</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《看昆明》采编团队制定相关评价方案，按照方案进行资料收集与审核，进行现场和非现场评价以及综合评价，从完成期数、出稿类型、报道质量、外部效应等方面进行评价，最终完成报告撰写。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2.研究文件</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相继研究了人事管理制度、绩效考评制度以及资金管理制度，以及全市重点中心工作的相关文件等。</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3.绩效评价指标体系及工作方案的设计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制定了选题策划制度、人员管理制度、绩效考评制度以及资金管理制度，绩效考评以版面出刊数量、报道与全市中心工作契合度以及社会影响力等为标准，资金主要用于采编、翻译、印刷、硬件以及发行支出等；</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评价体系重点包括：报道内容是否围绕昆明外宣重点工作；报道数量是否符合审定方案；稿件刊发形成的舆论影响及范围。</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（三）绩效评价原则、评价方法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公平与客观、公开与开放、反馈与修改、定期化与制度化、可靠性与准确性、可行性与适用性。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稿分评定法：依据报社统一评分制度对项目采编人员工作进行考评，判定项目完成质量。</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社会调查法：根据报道引起的社会效应、受众反应、与相关部门互动程度来判定项目是否达到预期效果。涉及调查问卷，让项目相关人员就问卷项目进行评价。</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（四）绩效评价实施过程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1.数据填报和采集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统计稿件评分、读者感受评价，按照既定制度进行指标评价。</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2.社会调查</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统计读者反馈、社会评价、相关部门互动情况，注重长期跟踪。</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3.数据分析和撰写报告</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将前期收集资料进行整理，按照相关指标进行评价总结，结合预期目标形成总结报告。</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（五）本次绩效评价的局限性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由于本项目为新批复项目，项目运行实践经验方面还有所欠缺，项目相关人员配备还显不足，相关制度建设还有待进一步完善与加强。</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三、评价结论和绩效分析</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2022年，《看昆明》外宣杂志出版发行各项工作正常开展，整体质量达标，资金使用情况规范，社会反响良好。</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宣传报道历史文化名城和人文风情，以及面向南亚东南亚活跃的文化交流、繁荣的文化贸易、紧密的文化合作、频繁的国际交往和对外开放，宣介昆明“汇东方与西方、融传统与现代”的城市气质和历史文脉，增强文化理解认同。</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通过宣传展示昆明的生物多样性和生态美、环境美、山水美、城市美、乡村美，让春城昆明的形象不断树立和闪亮起来，大力提升城市品质形象，持续增强昆明的知名度、美誉度。</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（二）具体绩效分析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决策方面，项目与所属部门长期发展目标和工作性质相匹配，并在前期对项目可行性进行过调研，符合要求。项目绩效目标的制定紧扣杂志定位和操作实际，能完整反映项目预期产出和效果，绩效指标清晰、可衡量。自评分19.5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项目管理方面，预算编制围绕采编活动实际情况，在需要调整预算时严格按照相关规定执行，资金使用合理、规范、节约，资金拨付程序完整，没有出现截留、挤占或挪用项目资金的情况。自评分20分。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项目绩效方面，采编活动团队提前预热，刊发稿件，跟踪活动同步报道，圆满完成各项目标，社会效益和宣传效益达到预期目标。自评分59分。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项目总评分98.5分。</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四、成本效益分析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资金的财政拨款，主要用于采编、翻译、发行、印刷、发行等支出。项目所有资金实行专款专用，资金拨付严格审批程序，使用规范，会计核算结果真实、准确。项目单位建立健全项目实施预算方案、财务管理制度和会计核算制度，此次绩效评价过程中未发现有截留、挤占或挪用项目资金的情况。</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五、主要经验及做法、存在的问题和建议</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（一）主要经验及做法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1.杂志出版要坚持正确舆论导向，壮大主流媒体舆论引导和正面宣传传播力。</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2.树立正确的新闻观，把坚持正确的舆论导向放在新闻宣传的首位，构建强大的外宣舆论引导体系，有思想有观点有内涵，发出权威声音。</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（二）存在的问题</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1.杂志新闻策划还有待加强。</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2.杂志发行覆盖面还有待扩大。</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（三）建议和改进措施</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1.围绕市委、市政府中心工作，加强新闻选题策划，推出更多精品力作。</w:t>
      </w:r>
    </w:p>
    <w:p>
      <w:pPr>
        <w:spacing w:line="600" w:lineRule="exact"/>
        <w:ind w:firstLine="720" w:firstLineChars="225"/>
        <w:jc w:val="both"/>
        <w:rPr>
          <w:rFonts w:hint="default" w:ascii="仿宋" w:hAnsi="仿宋" w:eastAsia="仿宋" w:cs="仿宋"/>
          <w:sz w:val="32"/>
          <w:szCs w:val="32"/>
        </w:rPr>
      </w:pPr>
      <w:r>
        <w:rPr>
          <w:rFonts w:ascii="仿宋" w:hAnsi="仿宋" w:eastAsia="仿宋" w:cs="仿宋"/>
          <w:sz w:val="32"/>
          <w:szCs w:val="32"/>
        </w:rPr>
        <w:t>2.加强发行工作力度，增大杂志发行覆盖面，进一步增强杂志宣传影响力。</w:t>
      </w:r>
    </w:p>
    <w:p>
      <w:pPr>
        <w:spacing w:line="600" w:lineRule="exact"/>
        <w:jc w:val="both"/>
        <w:rPr>
          <w:rFonts w:hint="default" w:ascii="仿宋" w:hAnsi="仿宋" w:eastAsia="仿宋" w:cs="仿宋"/>
        </w:rPr>
      </w:pPr>
      <w:r>
        <w:rPr>
          <w:rFonts w:ascii="仿宋" w:hAnsi="仿宋" w:eastAsia="仿宋" w:cs="仿宋"/>
        </w:rPr>
        <w:t xml:space="preserve"> </w:t>
      </w:r>
    </w:p>
    <w:p>
      <w:pPr>
        <w:overflowPunct w:val="0"/>
        <w:spacing w:line="600" w:lineRule="exact"/>
        <w:jc w:val="both"/>
        <w:rPr>
          <w:rFonts w:hint="default" w:cs="宋体"/>
          <w:sz w:val="32"/>
          <w:szCs w:val="32"/>
        </w:rPr>
      </w:pPr>
      <w:r>
        <w:rPr>
          <w:rFonts w:cs="宋体"/>
          <w:sz w:val="32"/>
          <w:szCs w:val="32"/>
        </w:rPr>
        <w:br w:type="page"/>
      </w:r>
      <w:r>
        <w:rPr>
          <w:rFonts w:cs="宋体"/>
          <w:sz w:val="32"/>
          <w:szCs w:val="32"/>
        </w:rPr>
        <w:t>项目三：</w:t>
      </w:r>
    </w:p>
    <w:p>
      <w:pPr>
        <w:spacing w:line="600" w:lineRule="exac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w:t>
      </w:r>
      <w:r>
        <w:rPr>
          <w:rFonts w:cs="宋体"/>
          <w:sz w:val="44"/>
          <w:szCs w:val="44"/>
        </w:rPr>
        <w:t>砥砺奋进新征程</w:t>
      </w:r>
      <w:r>
        <w:rPr>
          <w:rFonts w:ascii="方正小标宋简体" w:hAnsi="方正小标宋简体" w:eastAsia="方正小标宋简体" w:cs="方正小标宋简体"/>
          <w:sz w:val="44"/>
          <w:szCs w:val="44"/>
        </w:rPr>
        <w:t xml:space="preserve"> </w:t>
      </w:r>
      <w:r>
        <w:rPr>
          <w:rFonts w:cs="宋体"/>
          <w:sz w:val="44"/>
          <w:szCs w:val="44"/>
        </w:rPr>
        <w:t>喜迎党的二十大</w:t>
      </w:r>
      <w:r>
        <w:rPr>
          <w:rFonts w:ascii="方正小标宋简体" w:hAnsi="方正小标宋简体" w:eastAsia="方正小标宋简体" w:cs="方正小标宋简体"/>
          <w:sz w:val="44"/>
          <w:szCs w:val="44"/>
        </w:rPr>
        <w:t>—</w:t>
      </w:r>
      <w:r>
        <w:rPr>
          <w:rFonts w:cs="宋体"/>
          <w:sz w:val="44"/>
          <w:szCs w:val="44"/>
        </w:rPr>
        <w:t>党的创新理论我来讲</w:t>
      </w:r>
      <w:r>
        <w:rPr>
          <w:rFonts w:ascii="方正小标宋简体" w:hAnsi="方正小标宋简体" w:eastAsia="方正小标宋简体" w:cs="方正小标宋简体"/>
          <w:sz w:val="44"/>
          <w:szCs w:val="44"/>
        </w:rPr>
        <w:t>”</w:t>
      </w:r>
      <w:r>
        <w:rPr>
          <w:rFonts w:cs="宋体"/>
          <w:sz w:val="44"/>
          <w:szCs w:val="44"/>
        </w:rPr>
        <w:t>昆明市理论宣讲大赛</w:t>
      </w:r>
    </w:p>
    <w:p>
      <w:pPr>
        <w:spacing w:line="600" w:lineRule="exact"/>
        <w:jc w:val="center"/>
        <w:rPr>
          <w:rFonts w:hint="default" w:ascii="方正小标宋简体" w:hAnsi="方正小标宋简体" w:eastAsia="方正小标宋简体" w:cs="方正小标宋简体"/>
          <w:sz w:val="44"/>
          <w:szCs w:val="44"/>
        </w:rPr>
      </w:pPr>
      <w:r>
        <w:rPr>
          <w:rFonts w:cs="宋体"/>
          <w:sz w:val="44"/>
          <w:szCs w:val="44"/>
        </w:rPr>
        <w:t>项目支出绩效自评报告</w:t>
      </w:r>
    </w:p>
    <w:p>
      <w:pPr>
        <w:topLinePunct/>
        <w:spacing w:line="600" w:lineRule="exact"/>
        <w:ind w:firstLine="800" w:firstLineChars="250"/>
        <w:jc w:val="both"/>
        <w:rPr>
          <w:rFonts w:hint="default" w:ascii="仿宋_GB2312" w:eastAsia="仿宋_GB2312" w:cs="仿宋_GB2312"/>
          <w:sz w:val="32"/>
          <w:szCs w:val="32"/>
        </w:rPr>
      </w:pPr>
      <w:r>
        <w:rPr>
          <w:rFonts w:ascii="仿宋_GB2312" w:eastAsia="仿宋_GB2312" w:cs="仿宋_GB2312"/>
          <w:sz w:val="32"/>
          <w:szCs w:val="32"/>
        </w:rPr>
        <w:t xml:space="preserve"> </w:t>
      </w:r>
    </w:p>
    <w:p>
      <w:pPr>
        <w:topLinePunct/>
        <w:spacing w:line="600" w:lineRule="exact"/>
        <w:ind w:firstLine="800" w:firstLineChars="250"/>
        <w:jc w:val="both"/>
        <w:rPr>
          <w:rFonts w:hint="default" w:ascii="黑体" w:eastAsia="黑体" w:cs="黑体"/>
          <w:sz w:val="32"/>
          <w:szCs w:val="32"/>
        </w:rPr>
      </w:pPr>
      <w:r>
        <w:rPr>
          <w:rFonts w:ascii="黑体" w:eastAsia="黑体" w:cs="黑体"/>
          <w:sz w:val="32"/>
          <w:szCs w:val="32"/>
        </w:rPr>
        <w:t>一、项目基本情况</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（一）项目概况</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1.立项背景及目的</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根据省委宣传部《关于在全省举办“砥砺奋进新征程  喜迎党的二十大——党的创新理论我来讲”理论宣讲大赛的通知》，昆明市将在全市范围举办“砥砺奋进新征程  喜迎党的二十大——党的创新理论我来讲”理论宣讲大赛，选拔优秀队伍，参加省级比赛。</w:t>
      </w:r>
    </w:p>
    <w:p>
      <w:pPr>
        <w:kinsoku w:val="0"/>
        <w:overflowPunct w:val="0"/>
        <w:adjustRightInd w:val="0"/>
        <w:snapToGrid w:val="0"/>
        <w:spacing w:line="560" w:lineRule="exact"/>
        <w:ind w:firstLine="640" w:firstLineChars="200"/>
        <w:jc w:val="both"/>
        <w:textAlignment w:val="baseline"/>
        <w:rPr>
          <w:rFonts w:hint="default" w:ascii="仿宋" w:hAnsi="仿宋" w:eastAsia="仿宋" w:cs="仿宋"/>
        </w:rPr>
      </w:pPr>
      <w:r>
        <w:rPr>
          <w:rFonts w:ascii="仿宋" w:hAnsi="仿宋" w:eastAsia="仿宋" w:cs="仿宋"/>
          <w:sz w:val="32"/>
          <w:szCs w:val="32"/>
        </w:rPr>
        <w:t>围绕“奋斗新时代、奋进新征程、担当新使命，沿着习近平总书记指引的方向奋勇前进，以优异成绩迎接党的二十大胜利召开。”的大赛主题，紧扣火热实践、先进典型、生动事例中反映出的对党的忠诚、对祖国的热爱、对人民的赤诚、对信仰的坚定的宣讲内容，通过组织比赛，不断推进马克思主义中国化时代化，生动阐释“中国共产党为什么能，中国特色社会主义为什么好”，深刻阐释“马克思主义之所以行”的奥妙所在。宣讲全市广大干部群众牢固树立“今天再晚也是早、明天再早也是晚”的效率意识，以时不我待的紧迫感大抓发展，奋力谱写好中国梦的云南篇章的生动实践。</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2.项目实施情况</w:t>
      </w:r>
    </w:p>
    <w:p>
      <w:pPr>
        <w:pStyle w:val="72"/>
        <w:ind w:firstLine="640" w:firstLineChars="200"/>
        <w:rPr>
          <w:rFonts w:ascii="仿宋" w:hAnsi="仿宋" w:eastAsia="仿宋" w:cs="仿宋"/>
        </w:rPr>
      </w:pPr>
      <w:r>
        <w:rPr>
          <w:rFonts w:hint="eastAsia" w:ascii="仿宋" w:hAnsi="仿宋" w:eastAsia="仿宋" w:cs="仿宋"/>
          <w:sz w:val="32"/>
          <w:szCs w:val="32"/>
        </w:rPr>
        <w:t>比赛现场导演、主持人、评委、场务、计分员、拍摄人员、音响控制、各参赛队员密切配合，顺利完成比赛，选拔出语言类一等奖作品3个，文艺类一等奖作品3个，得到了市委宣传部的高度肯定，并全部向省委宣传部进行了推荐。通过此次比赛，昆明市理论宣讲水平得到进一步提升，理论宣讲的形式得到了丰富，从不同视角，运用多种形式，宣讲全市广大干部群众牢固树立“今天再晚也是早、明天再早也是晚”的效率意识，以时不我待的紧迫感大抓发展，奋力谱写好中国梦的云南篇章的生动实践。</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3.资金来源及使用情况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该项目资金来源为建设学习型领导班子和落实意识形态经费。预算资金20万元，全部投入活动举办的各项工作中。</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4.组织及管理情况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组织情况：项目由市委宣传部主办，昆明报业传媒集团承办，市委各派出工委，各县（市）区委宣传部，各开发（度假）区工委工作部协办。市委宣传部负责牵头做好决赛统筹协调工作。包括活动组织策划、评选表彰、宣传报道等工作。昆明报业传媒集团负责做好决赛组织实施工作。制定决赛执行方案和表彰奖励方案，参赛视频录制、制作决赛手册、统筹新闻报道、氛围营造等具体工作。市委各派出工委，各县（市）区委宣传部、开发（度假）区党工委工作部负责本系统、本辖区的参赛队组织工作，按通知带队参加决赛。</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项目实施流程：2022年16日、17日“砥砺奋进新征程 喜迎党的二十大——党的创新理论我来讲”昆明市理论宣讲大赛正式启动，市委7个派出工委、14个县（市）区委宣传部，4个开发（度假）区工委工作部从本系统、本辖区的初赛中推荐优秀作品57个，按类别参加昆明市党的创新理论我来讲大赛。57个节目中，语言类节目28个，文艺类节目29个。</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比赛中，评委从宣讲主题、宣讲内容、语言表达、现场表现、着装仪表、宣讲效果等方面按照百分制现场打分。采取去掉一个最高分和一个最低分，取其余分数的平均分为选手最后得分，分数保留到小数点后两位。从高到低排出名次，确定获奖名单。最终，产生语言类一等奖3名、二等奖10名、三等奖15名；文艺类一等奖3名、二等奖10名、三等奖16名。文艺类一等奖作品《振兴》选送到省委宣传部，获得云南省理论宣讲大赛文艺类三等奖，昆明市获得活动的优秀组织奖。</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比赛结束后，为了进一步扩大活动的影响力，让更多的人听到看到优秀的理论宣讲，昆明报业传媒集团在掌上春城开设了专题页面，对此次比赛中的优秀节目视频进行展播，展播周期为1年。</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1.总目标</w:t>
      </w:r>
    </w:p>
    <w:p>
      <w:pPr>
        <w:kinsoku w:val="0"/>
        <w:overflowPunct w:val="0"/>
        <w:adjustRightInd w:val="0"/>
        <w:snapToGrid w:val="0"/>
        <w:spacing w:line="560" w:lineRule="exact"/>
        <w:ind w:firstLine="640" w:firstLineChars="200"/>
        <w:jc w:val="both"/>
        <w:textAlignment w:val="baseline"/>
        <w:rPr>
          <w:rFonts w:hint="default" w:ascii="仿宋" w:hAnsi="仿宋" w:eastAsia="仿宋" w:cs="仿宋"/>
          <w:sz w:val="32"/>
          <w:szCs w:val="32"/>
        </w:rPr>
      </w:pPr>
      <w:r>
        <w:rPr>
          <w:rFonts w:ascii="仿宋" w:hAnsi="仿宋" w:eastAsia="仿宋" w:cs="仿宋"/>
          <w:sz w:val="32"/>
          <w:szCs w:val="32"/>
        </w:rPr>
        <w:t>围绕“奋斗新时代、奋进新征程、担当新使命，沿着习近平总书记指引的方向奋勇前进，以优异成绩迎接党的二十大胜利召开。”的大赛主题，紧扣火热实践、先进典型、生动事例中反映出的对党的忠诚、对祖国的热爱、对人民的赤诚、对信仰的坚定的宣讲内容，通过组织比赛，不断推进马克思主义中国化时代化，生动阐释“中国共产党为什么能，中国特色社会主义为什么好”，深刻阐释“马克思主义之所以行”的奥妙所在。宣讲全市广大干部群众牢固树立“今天再晚也是早、明天再早也是晚”的效率意识，以时不我待的紧迫感大抓发展，奋力谱写好中国梦的云南篇章的生动实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2.年度目标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理论宣讲大赛的形式，引导全市广大党员干部群众在理论宣讲的形式上不断创新，在演讲的基础上，大胆采用小品、情景剧、花灯歌舞、相声、快板、诗朗诵、顺口溜、音诗画等多种文艺表现形式开展理论宣讲，让党的创新理论飞入寻常百姓家，同时选拔优秀队伍参加省级比赛，力争获得好成绩。</w:t>
      </w:r>
    </w:p>
    <w:p>
      <w:pPr>
        <w:topLinePunct/>
        <w:spacing w:line="600" w:lineRule="exact"/>
        <w:ind w:firstLine="800" w:firstLineChars="250"/>
        <w:jc w:val="both"/>
        <w:rPr>
          <w:rFonts w:hint="default" w:ascii="黑体" w:eastAsia="黑体" w:cs="黑体"/>
          <w:sz w:val="32"/>
          <w:szCs w:val="32"/>
        </w:rPr>
      </w:pPr>
      <w:r>
        <w:rPr>
          <w:rFonts w:ascii="黑体" w:eastAsia="黑体" w:cs="黑体"/>
          <w:sz w:val="32"/>
          <w:szCs w:val="32"/>
        </w:rPr>
        <w:t>二、绩效评价工作情况</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（一）绩效评价目的</w:t>
      </w:r>
    </w:p>
    <w:p>
      <w:pPr>
        <w:snapToGrid w:val="0"/>
        <w:spacing w:line="600" w:lineRule="exact"/>
        <w:ind w:firstLine="640" w:firstLineChars="200"/>
        <w:jc w:val="both"/>
        <w:rPr>
          <w:rFonts w:hint="default" w:ascii="仿宋_GB2312" w:eastAsia="仿宋_GB2312" w:cs="仿宋_GB2312"/>
          <w:sz w:val="32"/>
          <w:szCs w:val="32"/>
        </w:rPr>
      </w:pPr>
      <w:r>
        <w:rPr>
          <w:rFonts w:ascii="仿宋" w:hAnsi="仿宋" w:eastAsia="仿宋" w:cs="仿宋"/>
          <w:sz w:val="32"/>
          <w:szCs w:val="32"/>
        </w:rPr>
        <w:t>通过本次绩效评价，全面了解项目决策、过程、产出和效益等情况，评价财政资金使用绩效，找出存在的问题和原因，提出建设性意见建议，进一步规范资金分配和使用，并将绩效评价结果作为编报下年预算、改进加强管理、完善政策的重要依据，进一步提高资金使用效益。</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（二）绩效评价工作方案制定过程</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1.前期调研</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调研,对相关文件的解读，根据绩效评价的基本原理、原则和项目特点，结合绩效目标，由绩效评价小组按确定的评价指标体系、评分标准、评价方法和相关的工作程序和步骤，在规定的时间节点内开展绩效评价工作。</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2.绩效评价指标体系及工作方案的设计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绩效评价证据收集方法包括了研究、分析项目预算部门提供的相关文件；整理、汇总项目预算单位提供的项目资料、工作总结和合同；根据预算部门提供的基础数据表逐项进行核实。根据上述方法，从项目的立项合理性，目标的明确性，预算的准确性和管理制度的合规性等方面，对评价对象进行绩效评价。</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（三）绩效评价原则、评价方法</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1.绩效评价原则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(1)科学规范。绩效评价注重财政支出的经济性、效率性和有效性，严格执行规定的程序，采用定量与定性分析相结合的方法。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(2)公正公开。绩效评价客观、公正，标准统一、资料可靠，依法公开。</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(3)绩效相关。绩效评价针对具体支出及其产出绩效进行评价,结果清晰反映支出和产出绩效之间的紧密对应关系。</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2.绩效评价方法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本次主要采用因素分析法，采取数据对比，同时辅以资料研究等方法。</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（四）绩效评价实施过程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中华人民共和国预算法》《昆明市预算绩效管理暂行办法》（昆政办〔2013〕129号）等有关规定，结合部门职能职责，对照项目目标和实际完成情况，由单位分管领导牵头，各项目实施部门具体负责项目评价工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绩效评价围绕绩效目标的设定、资金投入和使用、为实现绩效目标制定的制度、采取的措施、绩效目标的实现程度及效果等方面内容开展自评。</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（五）本次绩效评价的局限性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本次项目评价由具体执行部门进行，依靠财政等有关部门和单位的指导，评价专业性不够，具有一定的局限性。</w:t>
      </w:r>
    </w:p>
    <w:p>
      <w:pPr>
        <w:topLinePunct/>
        <w:spacing w:line="600" w:lineRule="exact"/>
        <w:ind w:firstLine="800" w:firstLineChars="250"/>
        <w:jc w:val="both"/>
        <w:rPr>
          <w:rFonts w:hint="default" w:ascii="黑体" w:eastAsia="黑体" w:cs="黑体"/>
          <w:sz w:val="32"/>
          <w:szCs w:val="32"/>
        </w:rPr>
      </w:pPr>
      <w:r>
        <w:rPr>
          <w:rFonts w:ascii="黑体" w:eastAsia="黑体" w:cs="黑体"/>
          <w:sz w:val="32"/>
          <w:szCs w:val="32"/>
        </w:rPr>
        <w:t>三、评价结论和绩效分析</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（一）评价结论</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1.评价结果</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本项目绩效目标根据部门绩效目标制定，真实有效地反映了部门的职能，并且绩效可考核。项目资金使用有效合理，有严格的财务及内控制度把关，没有超出预算范围使用的情况发生。项目绩效指标及时完成并且完成情况良好。</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2.主要绩效</w:t>
      </w:r>
    </w:p>
    <w:p>
      <w:pPr>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理论宣讲大赛的形式，引导全市广大党员干部群众在理论宣讲的形式上不断创新，在演讲的基础上，大胆采用小品、情景剧、花灯歌舞、相声、快板、诗朗诵、顺口溜、音诗画等多种文艺表现形式开展理论宣讲，让党的创新理论飞入寻常百姓家，同时选拔优秀队伍参加省级比赛，力争获得好成绩。</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（二）具体绩效分析</w:t>
      </w:r>
    </w:p>
    <w:tbl>
      <w:tblPr>
        <w:tblStyle w:val="16"/>
        <w:tblW w:w="0" w:type="auto"/>
        <w:tblInd w:w="93" w:type="dxa"/>
        <w:tblLayout w:type="fixed"/>
        <w:tblCellMar>
          <w:top w:w="0" w:type="dxa"/>
          <w:left w:w="108" w:type="dxa"/>
          <w:bottom w:w="0" w:type="dxa"/>
          <w:right w:w="108" w:type="dxa"/>
        </w:tblCellMar>
      </w:tblPr>
      <w:tblGrid>
        <w:gridCol w:w="789"/>
        <w:gridCol w:w="1342"/>
        <w:gridCol w:w="1422"/>
        <w:gridCol w:w="3816"/>
        <w:gridCol w:w="948"/>
      </w:tblGrid>
      <w:tr>
        <w:tblPrEx>
          <w:tblCellMar>
            <w:top w:w="0" w:type="dxa"/>
            <w:left w:w="108" w:type="dxa"/>
            <w:bottom w:w="0" w:type="dxa"/>
            <w:right w:w="108" w:type="dxa"/>
          </w:tblCellMar>
        </w:tblPrEx>
        <w:trPr>
          <w:trHeight w:val="530" w:hRule="atLeast"/>
        </w:trPr>
        <w:tc>
          <w:tcPr>
            <w:tcW w:w="789" w:type="dxa"/>
            <w:vMerge w:val="restart"/>
            <w:tcBorders>
              <w:top w:val="single" w:color="000000" w:sz="4" w:space="0"/>
              <w:left w:val="single" w:color="000000" w:sz="4" w:space="0"/>
              <w:bottom w:val="nil"/>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绩</w:t>
            </w:r>
            <w:r>
              <w:rPr>
                <w:rFonts w:cs="宋体"/>
                <w:sz w:val="22"/>
                <w:szCs w:val="22"/>
              </w:rPr>
              <w:br w:type="textWrapping"/>
            </w:r>
            <w:r>
              <w:rPr>
                <w:rFonts w:cs="宋体"/>
                <w:sz w:val="22"/>
                <w:szCs w:val="22"/>
              </w:rPr>
              <w:t>效</w:t>
            </w:r>
            <w:r>
              <w:rPr>
                <w:rFonts w:cs="宋体"/>
                <w:sz w:val="22"/>
                <w:szCs w:val="22"/>
              </w:rPr>
              <w:br w:type="textWrapping"/>
            </w:r>
            <w:r>
              <w:rPr>
                <w:rFonts w:cs="宋体"/>
                <w:sz w:val="22"/>
                <w:szCs w:val="22"/>
              </w:rPr>
              <w:t>指</w:t>
            </w:r>
            <w:r>
              <w:rPr>
                <w:rFonts w:cs="宋体"/>
                <w:sz w:val="22"/>
                <w:szCs w:val="22"/>
              </w:rPr>
              <w:br w:type="textWrapping"/>
            </w:r>
            <w:r>
              <w:rPr>
                <w:rFonts w:cs="宋体"/>
                <w:sz w:val="22"/>
                <w:szCs w:val="22"/>
              </w:rPr>
              <w:t>标</w:t>
            </w:r>
          </w:p>
        </w:tc>
        <w:tc>
          <w:tcPr>
            <w:tcW w:w="134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一级指标</w:t>
            </w:r>
          </w:p>
        </w:tc>
        <w:tc>
          <w:tcPr>
            <w:tcW w:w="14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二级指标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三级指标</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得分</w:t>
            </w:r>
          </w:p>
        </w:tc>
      </w:tr>
      <w:tr>
        <w:tblPrEx>
          <w:tblCellMar>
            <w:top w:w="0" w:type="dxa"/>
            <w:left w:w="108" w:type="dxa"/>
            <w:bottom w:w="0" w:type="dxa"/>
            <w:right w:w="108" w:type="dxa"/>
          </w:tblCellMar>
        </w:tblPrEx>
        <w:trPr>
          <w:trHeight w:val="428"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产出指标</w:t>
            </w:r>
          </w:p>
        </w:tc>
        <w:tc>
          <w:tcPr>
            <w:tcW w:w="1422"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数量指标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决赛队伍</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8</w:t>
            </w:r>
          </w:p>
        </w:tc>
      </w:tr>
      <w:tr>
        <w:tblPrEx>
          <w:tblCellMar>
            <w:top w:w="0" w:type="dxa"/>
            <w:left w:w="108" w:type="dxa"/>
            <w:bottom w:w="0" w:type="dxa"/>
            <w:right w:w="108" w:type="dxa"/>
          </w:tblCellMar>
        </w:tblPrEx>
        <w:trPr>
          <w:trHeight w:val="428"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决赛节目</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8</w:t>
            </w:r>
          </w:p>
        </w:tc>
      </w:tr>
      <w:tr>
        <w:tblPrEx>
          <w:tblCellMar>
            <w:top w:w="0" w:type="dxa"/>
            <w:left w:w="108" w:type="dxa"/>
            <w:bottom w:w="0" w:type="dxa"/>
            <w:right w:w="108" w:type="dxa"/>
          </w:tblCellMar>
        </w:tblPrEx>
        <w:trPr>
          <w:trHeight w:val="428"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汇报宣讲节目</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8</w:t>
            </w:r>
          </w:p>
        </w:tc>
      </w:tr>
      <w:tr>
        <w:tblPrEx>
          <w:tblCellMar>
            <w:top w:w="0" w:type="dxa"/>
            <w:left w:w="108" w:type="dxa"/>
            <w:bottom w:w="0" w:type="dxa"/>
            <w:right w:w="108" w:type="dxa"/>
          </w:tblCellMar>
        </w:tblPrEx>
        <w:trPr>
          <w:trHeight w:val="428"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比赛场次</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8</w:t>
            </w:r>
          </w:p>
        </w:tc>
      </w:tr>
      <w:tr>
        <w:tblPrEx>
          <w:tblCellMar>
            <w:top w:w="0" w:type="dxa"/>
            <w:left w:w="108" w:type="dxa"/>
            <w:bottom w:w="0" w:type="dxa"/>
            <w:right w:w="108" w:type="dxa"/>
          </w:tblCellMar>
        </w:tblPrEx>
        <w:trPr>
          <w:trHeight w:val="428"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录制节目视频</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8</w:t>
            </w:r>
          </w:p>
        </w:tc>
      </w:tr>
      <w:tr>
        <w:tblPrEx>
          <w:tblCellMar>
            <w:top w:w="0" w:type="dxa"/>
            <w:left w:w="108" w:type="dxa"/>
            <w:bottom w:w="0" w:type="dxa"/>
            <w:right w:w="108" w:type="dxa"/>
          </w:tblCellMar>
        </w:tblPrEx>
        <w:trPr>
          <w:trHeight w:val="644"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质量指标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理论宣讲大赛在昆明地区覆盖率</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w:t>
            </w:r>
          </w:p>
        </w:tc>
      </w:tr>
      <w:tr>
        <w:tblPrEx>
          <w:tblCellMar>
            <w:top w:w="0" w:type="dxa"/>
            <w:left w:w="108" w:type="dxa"/>
            <w:bottom w:w="0" w:type="dxa"/>
            <w:right w:w="108" w:type="dxa"/>
          </w:tblCellMar>
        </w:tblPrEx>
        <w:trPr>
          <w:trHeight w:val="599"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理论宣讲活动的品牌效应</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1161"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效益指标</w:t>
            </w:r>
          </w:p>
        </w:tc>
        <w:tc>
          <w:tcPr>
            <w:tcW w:w="14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社会效益指标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活动广泛动员14县（市）区、4个开发（度假）区和7个市委各派出工委的200余个单位开展理论宣讲</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503"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可持续影响指标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项目宣讲视频的可持续带动作用</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428"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项目新增理论宣讲人才</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780"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满意度</w:t>
            </w:r>
            <w:r>
              <w:rPr>
                <w:rFonts w:cs="宋体"/>
                <w:sz w:val="22"/>
                <w:szCs w:val="22"/>
              </w:rPr>
              <w:br w:type="textWrapping"/>
            </w:r>
            <w:r>
              <w:rPr>
                <w:rFonts w:cs="宋体"/>
                <w:sz w:val="22"/>
                <w:szCs w:val="22"/>
              </w:rPr>
              <w:t>指标</w:t>
            </w:r>
          </w:p>
        </w:tc>
        <w:tc>
          <w:tcPr>
            <w:tcW w:w="14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服务对象满意度指标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参赛单位、公众满意度</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780" w:hRule="atLeast"/>
        </w:trPr>
        <w:tc>
          <w:tcPr>
            <w:tcW w:w="7369" w:type="dxa"/>
            <w:gridSpan w:val="4"/>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ab/>
            </w:r>
            <w:r>
              <w:rPr>
                <w:rFonts w:cs="宋体"/>
                <w:sz w:val="22"/>
                <w:szCs w:val="22"/>
              </w:rPr>
              <w:t>合计：</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99</w:t>
            </w:r>
          </w:p>
        </w:tc>
      </w:tr>
    </w:tbl>
    <w:p>
      <w:pPr>
        <w:pStyle w:val="72"/>
      </w:pPr>
      <w:r>
        <w:t xml:space="preserve"> </w:t>
      </w:r>
    </w:p>
    <w:p>
      <w:pPr>
        <w:spacing w:line="600" w:lineRule="exact"/>
        <w:ind w:firstLine="640" w:firstLineChars="200"/>
        <w:jc w:val="both"/>
        <w:rPr>
          <w:rFonts w:hint="default" w:ascii="黑体" w:eastAsia="黑体" w:cs="黑体"/>
          <w:sz w:val="32"/>
          <w:szCs w:val="32"/>
        </w:rPr>
      </w:pPr>
      <w:r>
        <w:rPr>
          <w:rFonts w:ascii="黑体" w:eastAsia="黑体" w:cs="黑体"/>
          <w:sz w:val="32"/>
          <w:szCs w:val="32"/>
        </w:rPr>
        <w:t xml:space="preserve">四、成本效益分析 </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1.项目的经济性分析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在项目成本（预算）控制方面，主要从技术开发、活动宣传推广、活动场地租赁、场地布置、专家评审劳务费等方面来控制，对项目相关的费用逐一列项，严格审查，在保证项目正常实施的情况下，节约各项开支。</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2.项目支出结构</w:t>
      </w:r>
    </w:p>
    <w:p>
      <w:pPr>
        <w:spacing w:line="600" w:lineRule="exact"/>
        <w:ind w:firstLine="640" w:firstLineChars="200"/>
        <w:jc w:val="both"/>
        <w:rPr>
          <w:rFonts w:hint="default" w:ascii="仿宋" w:hAnsi="仿宋" w:eastAsia="仿宋" w:cs="仿宋"/>
        </w:rPr>
      </w:pPr>
      <w:r>
        <w:rPr>
          <w:rFonts w:ascii="仿宋" w:hAnsi="仿宋" w:eastAsia="仿宋" w:cs="仿宋"/>
          <w:sz w:val="32"/>
          <w:szCs w:val="32"/>
        </w:rPr>
        <w:t>80%费用投入技术开发、活动宣传推广、活动场地租赁、场地布置、专家评审劳务费，取得了较好、较热的传播效果。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20%的费用用于奖品购买、奖状发放，有效拉动活动参与互动积极性。</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3.项目有效性分析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昆明市理论宣讲大赛正式启动于2022年16日、17日正式启动，市委7个派出工委、14个县（市）区委宣传部，4个开发（度假）区工委工作部从本系统、本辖区的初赛中推荐优秀作品57个，其中，语言类节目28个，文艺类节目29个。最终，产生语言类一等奖3名、二等奖10名、三等奖15名；文艺类一等奖3名、二等奖10名、三等奖16名。文艺类一等奖作品《振兴》选送到省委宣传部，获得云南省理论宣讲大赛文艺类三等奖，昆明市获得活动的优秀组织奖。</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昆明报业传媒集团（昆明日报社）在掌上春城客户端开设了专题页面，对此次比赛中的优秀节目视频进行展播，展播周期为1年。</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4.项目的可持续性分析</w:t>
      </w:r>
    </w:p>
    <w:p>
      <w:pPr>
        <w:spacing w:line="600" w:lineRule="exact"/>
        <w:jc w:val="both"/>
        <w:rPr>
          <w:rFonts w:hint="default" w:ascii="仿宋" w:hAnsi="仿宋" w:eastAsia="仿宋" w:cs="仿宋"/>
          <w:sz w:val="32"/>
          <w:szCs w:val="32"/>
        </w:rPr>
      </w:pPr>
      <w:r>
        <w:rPr>
          <w:rFonts w:ascii="仿宋" w:hAnsi="仿宋" w:eastAsia="仿宋" w:cs="仿宋"/>
          <w:sz w:val="32"/>
          <w:szCs w:val="32"/>
        </w:rPr>
        <w:t xml:space="preserve">    通过组织比赛，不断推进马克思主义中国化时代化，生动阐释“中国共产党为什么能，中国特色社会主义为什么好”，深刻阐释“马克思主义之所以行”的奥妙所在。宣讲全市广大干部群众牢固树立“今天再晚也是早、明天再早也是晚”的效率意识，以时不我待的紧迫感大抓发展，奋力谱写好中国梦的云南篇章的生动实践。</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五、主要经验及做法、存在的问题和建议</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（一）主要经验及做法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“砥砺奋进新征程 喜迎党的二十大——党的创新理论我来讲”昆明市理论宣讲大赛在类别设置上严格按照省级比赛的方案设置，分语言类、文艺类两大类。语言类宣讲每队参赛人数为1人，要求口语化、通俗化，形象生动，时间15分钟以内。文艺类宣讲每队人数不超过3人，可以采用小品、情景剧、花灯歌舞、相声、快板、诗朗诵、顺口溜、音诗画等多种文艺表现形式，时间控制在10分钟之内。语言类比赛，共计28个节目，文艺类比赛，共计29个节目。评委从宣讲主题、宣讲内容、语言表达、现场表现、着装仪表、宣讲效果等方面按照百分制现场打分。采取去掉一个最高分和一个最低分，取其余分数的平均分为选手最后得分，分数保留到小数点后两位。从高到低排出名次，确定获奖名单。</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（二）存在的问题</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本次理论宣讲大赛是第三届，好的语言类、文艺类作品都需要时间的打磨，今年给予各位选手的时间不够，因为大家的工作比较繁重，作品主题重合率较高，创新性不足。</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（三）建议及改进措施</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在下一届比赛的组织当中，在前期策划上，尽可能多给选手一些准备时间，给推荐参加省赛的选手更多地指导和准备。</w:t>
      </w:r>
    </w:p>
    <w:p>
      <w:pPr>
        <w:overflowPunct w:val="0"/>
        <w:spacing w:line="600" w:lineRule="exact"/>
        <w:jc w:val="both"/>
        <w:rPr>
          <w:rFonts w:hint="default" w:ascii="仿宋" w:hAnsi="仿宋" w:eastAsia="仿宋" w:cs="仿宋"/>
          <w:sz w:val="32"/>
          <w:szCs w:val="32"/>
        </w:rPr>
      </w:pPr>
      <w:r>
        <w:rPr>
          <w:rFonts w:ascii="仿宋" w:hAnsi="仿宋" w:eastAsia="仿宋" w:cs="仿宋"/>
          <w:sz w:val="32"/>
          <w:szCs w:val="32"/>
        </w:rPr>
        <w:t xml:space="preserve"> </w:t>
      </w:r>
    </w:p>
    <w:p>
      <w:pPr>
        <w:pStyle w:val="72"/>
        <w:rPr>
          <w:rFonts w:eastAsia="仿宋_GB2312"/>
          <w:sz w:val="32"/>
          <w:szCs w:val="32"/>
        </w:rPr>
      </w:pPr>
      <w:r>
        <w:rPr>
          <w:rFonts w:eastAsia="仿宋_GB2312"/>
          <w:sz w:val="32"/>
          <w:szCs w:val="32"/>
        </w:rPr>
        <w:t xml:space="preserve"> </w:t>
      </w:r>
    </w:p>
    <w:p>
      <w:pPr>
        <w:pStyle w:val="72"/>
        <w:rPr>
          <w:rFonts w:eastAsia="仿宋_GB2312"/>
          <w:sz w:val="32"/>
          <w:szCs w:val="32"/>
        </w:rPr>
      </w:pPr>
      <w:r>
        <w:rPr>
          <w:rFonts w:eastAsia="仿宋_GB2312"/>
          <w:sz w:val="32"/>
          <w:szCs w:val="32"/>
        </w:rPr>
        <w:t xml:space="preserve"> </w:t>
      </w:r>
    </w:p>
    <w:p>
      <w:pPr>
        <w:pStyle w:val="72"/>
        <w:rPr>
          <w:rFonts w:eastAsia="仿宋_GB2312"/>
          <w:sz w:val="32"/>
          <w:szCs w:val="32"/>
        </w:rPr>
      </w:pPr>
      <w:r>
        <w:rPr>
          <w:rFonts w:eastAsia="仿宋_GB2312"/>
          <w:sz w:val="32"/>
          <w:szCs w:val="32"/>
        </w:rPr>
        <w:t xml:space="preserve"> </w:t>
      </w:r>
    </w:p>
    <w:p>
      <w:pPr>
        <w:pStyle w:val="72"/>
        <w:rPr>
          <w:rFonts w:eastAsia="仿宋_GB2312"/>
          <w:sz w:val="32"/>
          <w:szCs w:val="32"/>
        </w:rPr>
      </w:pPr>
      <w:r>
        <w:rPr>
          <w:rFonts w:eastAsia="仿宋_GB2312"/>
          <w:sz w:val="32"/>
          <w:szCs w:val="32"/>
        </w:rPr>
        <w:t xml:space="preserve"> </w:t>
      </w:r>
    </w:p>
    <w:p>
      <w:pPr>
        <w:pStyle w:val="72"/>
        <w:rPr>
          <w:rFonts w:eastAsia="仿宋_GB2312"/>
          <w:sz w:val="32"/>
          <w:szCs w:val="32"/>
        </w:rPr>
      </w:pPr>
      <w:r>
        <w:rPr>
          <w:rFonts w:eastAsia="仿宋_GB2312"/>
          <w:sz w:val="32"/>
          <w:szCs w:val="32"/>
        </w:rPr>
        <w:t xml:space="preserve"> </w:t>
      </w:r>
    </w:p>
    <w:p>
      <w:pPr>
        <w:pStyle w:val="72"/>
        <w:rPr>
          <w:rFonts w:hint="eastAsia" w:ascii="宋体" w:hAnsi="宋体" w:cs="宋体"/>
          <w:sz w:val="32"/>
          <w:szCs w:val="32"/>
        </w:rPr>
      </w:pPr>
    </w:p>
    <w:p>
      <w:pPr>
        <w:pStyle w:val="72"/>
        <w:rPr>
          <w:rFonts w:hint="eastAsia" w:ascii="宋体" w:hAnsi="宋体" w:cs="宋体"/>
          <w:sz w:val="32"/>
          <w:szCs w:val="32"/>
        </w:rPr>
      </w:pPr>
    </w:p>
    <w:p>
      <w:pPr>
        <w:pStyle w:val="72"/>
        <w:rPr>
          <w:rFonts w:ascii="楷体_GB2312" w:eastAsia="楷体_GB2312" w:cs="楷体_GB2312"/>
          <w:sz w:val="32"/>
          <w:szCs w:val="32"/>
        </w:rPr>
      </w:pPr>
      <w:r>
        <w:rPr>
          <w:rFonts w:hint="eastAsia" w:ascii="宋体" w:hAnsi="宋体" w:cs="宋体"/>
          <w:sz w:val="32"/>
          <w:szCs w:val="32"/>
        </w:rPr>
        <w:t>项目四：</w:t>
      </w:r>
    </w:p>
    <w:p>
      <w:pPr>
        <w:spacing w:line="600" w:lineRule="exact"/>
        <w:jc w:val="center"/>
        <w:rPr>
          <w:rFonts w:hint="default" w:ascii="方正小标宋简体" w:hAnsi="方正小标宋简体" w:eastAsia="方正小标宋简体" w:cs="方正小标宋简体"/>
          <w:sz w:val="44"/>
          <w:szCs w:val="44"/>
        </w:rPr>
      </w:pPr>
      <w:r>
        <w:rPr>
          <w:rFonts w:cs="宋体"/>
          <w:sz w:val="44"/>
          <w:szCs w:val="44"/>
        </w:rPr>
        <w:t>第三届昆明市</w:t>
      </w:r>
      <w:r>
        <w:rPr>
          <w:rFonts w:ascii="方正小标宋简体" w:hAnsi="方正小标宋简体" w:eastAsia="方正小标宋简体" w:cs="方正小标宋简体"/>
          <w:sz w:val="44"/>
          <w:szCs w:val="44"/>
        </w:rPr>
        <w:t>“</w:t>
      </w:r>
      <w:r>
        <w:rPr>
          <w:rFonts w:cs="宋体"/>
          <w:sz w:val="44"/>
          <w:szCs w:val="44"/>
        </w:rPr>
        <w:t>学习强国</w:t>
      </w:r>
      <w:r>
        <w:rPr>
          <w:rFonts w:ascii="方正小标宋简体" w:hAnsi="方正小标宋简体" w:eastAsia="方正小标宋简体" w:cs="方正小标宋简体"/>
          <w:sz w:val="44"/>
          <w:szCs w:val="44"/>
        </w:rPr>
        <w:t>·</w:t>
      </w:r>
      <w:r>
        <w:rPr>
          <w:rFonts w:cs="宋体"/>
          <w:sz w:val="44"/>
          <w:szCs w:val="44"/>
        </w:rPr>
        <w:t>学习达人</w:t>
      </w:r>
      <w:r>
        <w:rPr>
          <w:rFonts w:ascii="方正小标宋简体" w:hAnsi="方正小标宋简体" w:eastAsia="方正小标宋简体" w:cs="方正小标宋简体"/>
          <w:sz w:val="44"/>
          <w:szCs w:val="44"/>
        </w:rPr>
        <w:t>”</w:t>
      </w:r>
    </w:p>
    <w:p>
      <w:pPr>
        <w:spacing w:line="600" w:lineRule="exact"/>
        <w:jc w:val="center"/>
        <w:rPr>
          <w:rFonts w:hint="default" w:ascii="方正小标宋简体" w:hAnsi="方正小标宋简体" w:eastAsia="方正小标宋简体" w:cs="方正小标宋简体"/>
          <w:sz w:val="44"/>
          <w:szCs w:val="44"/>
        </w:rPr>
      </w:pPr>
      <w:r>
        <w:rPr>
          <w:rFonts w:cs="宋体"/>
          <w:sz w:val="44"/>
          <w:szCs w:val="44"/>
        </w:rPr>
        <w:t>学习竞赛项目支出绩效自评报告</w:t>
      </w:r>
    </w:p>
    <w:p>
      <w:pPr>
        <w:topLinePunct/>
        <w:spacing w:line="600" w:lineRule="exact"/>
        <w:ind w:firstLine="800" w:firstLineChars="250"/>
        <w:jc w:val="both"/>
        <w:rPr>
          <w:rFonts w:hint="default" w:ascii="黑体" w:eastAsia="黑体" w:cs="黑体"/>
          <w:sz w:val="32"/>
          <w:szCs w:val="32"/>
        </w:rPr>
      </w:pPr>
      <w:r>
        <w:rPr>
          <w:rFonts w:ascii="黑体" w:eastAsia="黑体" w:cs="黑体"/>
          <w:sz w:val="32"/>
          <w:szCs w:val="32"/>
        </w:rPr>
        <w:t xml:space="preserve"> </w:t>
      </w:r>
    </w:p>
    <w:p>
      <w:pPr>
        <w:topLinePunct/>
        <w:spacing w:line="600" w:lineRule="exact"/>
        <w:ind w:firstLine="800" w:firstLineChars="250"/>
        <w:jc w:val="both"/>
        <w:rPr>
          <w:rFonts w:hint="default" w:ascii="黑体" w:eastAsia="黑体" w:cs="黑体"/>
          <w:sz w:val="32"/>
          <w:szCs w:val="32"/>
        </w:rPr>
      </w:pPr>
      <w:r>
        <w:rPr>
          <w:rFonts w:ascii="黑体" w:eastAsia="黑体" w:cs="黑体"/>
          <w:sz w:val="32"/>
          <w:szCs w:val="32"/>
        </w:rPr>
        <w:t>一、项目基本情况</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（一）项目立项背景及目的</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1.立项背景及目的</w:t>
      </w:r>
    </w:p>
    <w:p>
      <w:pPr>
        <w:spacing w:line="600" w:lineRule="exact"/>
        <w:ind w:firstLine="640" w:firstLineChars="200"/>
        <w:jc w:val="both"/>
        <w:rPr>
          <w:rFonts w:hint="default" w:ascii="仿宋" w:hAnsi="仿宋" w:eastAsia="仿宋" w:cs="仿宋"/>
          <w:sz w:val="32"/>
          <w:szCs w:val="32"/>
        </w:rPr>
      </w:pPr>
      <w:r>
        <w:rPr>
          <w:rStyle w:val="61"/>
          <w:rFonts w:hint="eastAsia" w:ascii="仿宋" w:hAnsi="仿宋" w:eastAsia="仿宋" w:cs="仿宋"/>
          <w:sz w:val="32"/>
          <w:szCs w:val="32"/>
        </w:rPr>
        <w:t>为深入学习宣传贯彻习近平新时代中国特色社会主义思想，持续巩固深化党史学习教育成果，进一步引导广大党员干部群众用好“学习强国”学习平台，以实际行动迎接党的二十大胜利召开，定于 2022 年 5 月至 7 月举办第三届昆明市“学习强国 学习达人”学习竞赛。</w:t>
      </w:r>
    </w:p>
    <w:p>
      <w:pPr>
        <w:spacing w:line="600" w:lineRule="exact"/>
        <w:ind w:firstLine="640" w:firstLineChars="200"/>
        <w:jc w:val="both"/>
        <w:rPr>
          <w:rFonts w:hint="default" w:ascii="仿宋" w:hAnsi="仿宋" w:eastAsia="仿宋" w:cs="仿宋"/>
          <w:sz w:val="32"/>
          <w:szCs w:val="32"/>
        </w:rPr>
      </w:pPr>
      <w:r>
        <w:rPr>
          <w:rStyle w:val="61"/>
          <w:rFonts w:hint="eastAsia" w:ascii="仿宋" w:hAnsi="仿宋" w:eastAsia="仿宋" w:cs="仿宋"/>
          <w:sz w:val="32"/>
          <w:szCs w:val="32"/>
        </w:rPr>
        <w:t>举行第三届昆明市“学习强国·学习达人”学习竞赛，进行线上答题、线下比赛，表彰鼓励学习强国年度总积分前30名、年度积分前30名。通过此项目的开展，旨在形成你追我赶、比学赶超的学习氛围，有力引导了广大党员干部群众深入学习领会习近平总书记在党史学习教育动员大会上的重要讲话精神，做到学党史、悟思想、办实事、开新局。</w:t>
      </w:r>
    </w:p>
    <w:p>
      <w:pPr>
        <w:spacing w:line="600" w:lineRule="exact"/>
        <w:ind w:firstLine="640" w:firstLineChars="200"/>
        <w:jc w:val="both"/>
        <w:rPr>
          <w:rFonts w:hint="default" w:ascii="仿宋" w:hAnsi="仿宋" w:eastAsia="仿宋" w:cs="仿宋"/>
          <w:sz w:val="32"/>
          <w:szCs w:val="32"/>
        </w:rPr>
      </w:pPr>
      <w:r>
        <w:rPr>
          <w:rStyle w:val="61"/>
          <w:rFonts w:hint="eastAsia" w:ascii="仿宋" w:hAnsi="仿宋" w:eastAsia="仿宋" w:cs="仿宋"/>
          <w:sz w:val="32"/>
          <w:szCs w:val="32"/>
        </w:rPr>
        <w:t>此次活动旨在教育引导广大党员、干部和群众从党的辉煌成就、艰辛历程、历史经验、优良传统中，深刻领悟中国共产党为什么“能”、马克思主义为什么“行”、中国特色社会主义为什么“好”，深刻把握中国特色社会主义发展的历史逻辑、理论逻辑和实践逻辑；深刻领悟坚持中国共产党领导的历史必然性，坚定对党的领导的自信；深刻领悟习近平新时代中国特色社会主义思想的真理性，增强自觉贯彻落实党的创新理论的坚定性；深刻领悟中国特色社会主义道路的正确性，坚定不移走中国特色社会主义这条唯一正确的道路。同时，把学党史、悟思想、办实事、开新局贯穿始终，在党史学习教育中激发奋进力量，把学习成效转化为工作动力和成效。</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2.项目实施情况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中共昆明市委宣传部下发的《关于组织举办第三届昆明市“学习强国·学习达人”学习竞赛的通知》，各县（市）区委宣传部、各开发（度假）区党工委工作部、市委各派出党工委自行组织选拔赛，遴选优秀选手组建1支代表队，全市共组建24支代表队。于2022年5月6日至5月7日在昆明市新闻中心举行比赛，首先进行的是资格赛，其次是淘汰赛，最终有12位个人赛选手、10支团体赛队伍进入决赛。经过激烈的比拼最终评选出个人赛一等奖1个、二等奖4个、三等奖7个，团体赛一等奖1个、二等奖3个、三等奖6个。</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市级决赛产生省级赛预备队选手，于省级赛前开展两轮累计7天的赛前脱产集训，于7月17日至28日脱产培训参加比赛。</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3.资金来源及使用情况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项目资金来源为建设学习型领导班子和意识形态经费25万元，拨付至昆明报业传媒集团（昆明日报社）的零余额账户，专款用于本项目各项工作。</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4.组织及管理情况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项目组织情况：昆明报业传媒集团（昆明日报社）抽调专业的活动组织人员，整个工作时间跨度长、参与人数多、工作任务重，全体人员齐心合力、精益求精、加班加点、不计得失按时圆满完成任务。</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项目实施流程：工作人员接到宣传部的要求，展开活动的执行方案策划。期间，反复向宣传部报送方案，多次进行细节调整。最终获批实施。</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资金拨付流程：资金为财政资金，由市财政零余额账户拨付。</w:t>
      </w:r>
    </w:p>
    <w:p>
      <w:pPr>
        <w:topLinePunct/>
        <w:spacing w:line="600" w:lineRule="exact"/>
        <w:ind w:firstLine="640" w:firstLineChars="200"/>
        <w:jc w:val="both"/>
        <w:rPr>
          <w:rFonts w:hint="default" w:cs="宋体"/>
          <w:sz w:val="32"/>
          <w:szCs w:val="32"/>
        </w:rPr>
      </w:pPr>
      <w:r>
        <w:rPr>
          <w:rFonts w:ascii="楷体" w:hAnsi="楷体" w:eastAsia="楷体" w:cs="楷体"/>
          <w:sz w:val="32"/>
          <w:szCs w:val="32"/>
        </w:rPr>
        <w:t>（二）绩效目标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1.总目标</w:t>
      </w:r>
    </w:p>
    <w:p>
      <w:pPr>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为深入学习宣传贯彻习近平新时代中国特色社会主义思想，持续巩固深化党史学习教育成果，进一步引导广大党员干部群众用好“学习强国”学习平台，以实际行动迎接党的二十大胜利召开，定于 2022 年 5 月至 7 月举办第三届昆明市“学习强国 学习达人”学习竞赛。</w:t>
      </w:r>
    </w:p>
    <w:p>
      <w:pPr>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举行第三届昆明市“学习强国·学习达人”学习竞赛，进行线上答题、线下比赛，表彰鼓励学习强国年度总积分前30名、年度积分前30名。通过此项目的开展，旨在形成你追我赶、比学赶超的学习氛围，有力引导了广大党员干部群众深入学习领会习近平总书记在党史学习教育动员大会上的重要讲话精神，做到学党史、悟思想、办实事、开新局。</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2.年度目标</w:t>
      </w:r>
    </w:p>
    <w:p>
      <w:pPr>
        <w:snapToGrid w:val="0"/>
        <w:spacing w:line="600" w:lineRule="exact"/>
        <w:ind w:firstLine="640" w:firstLineChars="200"/>
        <w:jc w:val="both"/>
        <w:rPr>
          <w:rFonts w:hint="default" w:ascii="仿宋_GB2312" w:eastAsia="仿宋_GB2312" w:cs="仿宋_GB2312"/>
          <w:sz w:val="32"/>
          <w:szCs w:val="32"/>
        </w:rPr>
      </w:pPr>
      <w:r>
        <w:rPr>
          <w:rFonts w:ascii="仿宋" w:hAnsi="仿宋" w:eastAsia="仿宋" w:cs="仿宋"/>
          <w:sz w:val="32"/>
          <w:szCs w:val="32"/>
        </w:rPr>
        <w:t>此次活动旨在教育引导广大党员、干部和群众从党的辉煌成就、艰辛历程、历史经验、优良传统中，深刻领悟中国共产党为什么“能”、马克思主义为什么“行”、中国特色社会主义为什么“好”，深刻把握中国特色社会主义发展的历史逻辑、理论逻辑和实践逻辑；深刻领悟坚持中国共产党领导的历史必然性，坚定对党的领导的自信；深刻领悟习近平新时代中国特色社会主义思想的真理性，增强自觉贯彻落实党的创新理论的坚定性；深刻领悟中国特色社会主义道路的正确性，坚定不移走中国特色社会主义这条唯一正确的道路。同时，把学党史、悟思想、办实事、开新局贯穿始终，在党史学习教育中激发奋进力量，把学习成效转化为工作动力和成效。</w:t>
      </w:r>
    </w:p>
    <w:p>
      <w:pPr>
        <w:topLinePunct/>
        <w:spacing w:line="600" w:lineRule="exact"/>
        <w:ind w:firstLine="800" w:firstLineChars="250"/>
        <w:jc w:val="both"/>
        <w:rPr>
          <w:rFonts w:hint="default" w:ascii="黑体" w:eastAsia="黑体" w:cs="黑体"/>
          <w:sz w:val="32"/>
          <w:szCs w:val="32"/>
        </w:rPr>
      </w:pPr>
      <w:r>
        <w:rPr>
          <w:rFonts w:ascii="黑体" w:eastAsia="黑体" w:cs="黑体"/>
          <w:sz w:val="32"/>
          <w:szCs w:val="32"/>
        </w:rPr>
        <w:t>二、绩效评价工作情况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（一）绩效评价目的</w:t>
      </w:r>
    </w:p>
    <w:p>
      <w:pPr>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本次绩效评价，全面了解项目决策、过程、产出和效益等情况，评价财政资金使用绩效，找出存在的问题和原因，提出建设性意见建议，进一步规范资金分配和使用，并将绩效评价结果作为编报下年预算、改进加强管理、完善政策的重要依据，进一步提高资金使用效益。</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（二）绩效评价工作方案制定过程</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1.前期调研</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调研,对相关文件的解读，根据绩效评价的基本原理、原则和项目特点，结合绩效目标，由绩效评价小组按确定的评价指标体系、评分标准、评价方法和相关的工作程序和步骤，在规定的时间节点内开展绩效评价工作。</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2.绩效评价指标体系及工作方案的设计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绩效评价证据收集方法包括了研究、分析项目预算部门提供的相关文件；整理、汇总项目预算单位提供的项目资料、工作总结和合同；根据预算部门提供的基础数据表逐项进行核实。根据上述方法，从项目的立项合理性，目标的明确性，预算的准确性和管理制度的合规性等方面，对评价对象进行绩效评价。</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（三）绩效评价原则、评价方法</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(1)科学规范。绩效评价注重财政支出的经济性、效率性和有效性，严格执行规定的程序，采用定量与定性分析相结合的方法。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(2)公正公开。绩效评价客观、公正，标准统一、资料可靠，依法公开。</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(3)绩效相关。绩效评价针对具体支出及其产出绩效进行评价,结果清晰反映支出和产出绩效之间的紧密对应关系。</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本次主要采用因素分析法，采取数据对比，标准和抽样调查相结合，同时辅以问卷抽查、资料研究等方法。</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（四）绩效评价实施过程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中华人民共和国预算法》《昆明市预算绩效管理暂行办法》（昆政办〔2013〕129号）等有关规定，结合部门职能职责，对照项目目标和实际完成情况，由单位分管领导牵头，各项目实施部门具体负责项目评价工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绩效评价围绕绩效目标的设定、资金投入和使用、为实现绩效目标制定的制度、采取的措施、绩效目标的实现程度及效果等方面内容开展自评。</w:t>
      </w:r>
    </w:p>
    <w:p>
      <w:pPr>
        <w:topLinePunct/>
        <w:spacing w:line="600" w:lineRule="exact"/>
        <w:ind w:firstLine="640" w:firstLineChars="200"/>
        <w:jc w:val="both"/>
        <w:rPr>
          <w:rFonts w:hint="default" w:cs="宋体"/>
          <w:sz w:val="32"/>
          <w:szCs w:val="32"/>
        </w:rPr>
      </w:pPr>
      <w:r>
        <w:rPr>
          <w:rFonts w:ascii="楷体" w:hAnsi="楷体" w:eastAsia="楷体" w:cs="楷体"/>
          <w:sz w:val="32"/>
          <w:szCs w:val="32"/>
        </w:rPr>
        <w:t>（五）本次绩效评价的局限性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本次项目评价由具体执行部门进行，依靠财政等有关部门和单位的指导，评价专业性不够，具有一定的局限性。</w:t>
      </w:r>
    </w:p>
    <w:p>
      <w:pPr>
        <w:topLinePunct/>
        <w:spacing w:line="600" w:lineRule="exact"/>
        <w:ind w:firstLine="800" w:firstLineChars="250"/>
        <w:jc w:val="both"/>
        <w:rPr>
          <w:rFonts w:hint="default" w:ascii="黑体" w:eastAsia="黑体" w:cs="黑体"/>
          <w:sz w:val="32"/>
          <w:szCs w:val="32"/>
        </w:rPr>
      </w:pPr>
      <w:r>
        <w:rPr>
          <w:rFonts w:ascii="黑体" w:eastAsia="黑体" w:cs="黑体"/>
          <w:sz w:val="32"/>
          <w:szCs w:val="32"/>
        </w:rPr>
        <w:t>三、评价结论和绩效分析</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项目绩效目标根据部门绩效目标制定，真实有效地反映了部门的职能，并且绩效可考核。项目资金使用有效合理，有严格的财务及内控制度把关，没有超出预算范围使用的情况发生。项目绩效指标及时完成并且完成情况良好。</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中共昆明市委宣传部下发的《关于组织举办第三届昆明市“学习强国·学习达人”学习竞赛的通知》，各县（市）区委宣传部、各开发（度假）区党工委工作部、市委各派出党工委自行组织选拔赛，遴选优秀选手组建1支代表队，全市共组建24支代表队。于2022年5月6日至5月7日在昆明市新闻中心举行比赛，首先进行的是资格赛，其次是淘汰赛，最终有12位个人赛选手、10支团体赛队伍进入决赛。经过激烈的比拼最终评选出个人赛一等奖1个、二等奖4个、三等奖7个，团体赛一等奖1个、二等奖3个、三等奖6个。</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市级决赛产生省级赛预备队选手，于省级赛前开展两轮累计7天的赛前脱产集训，于7月17日至28日期间脱产培训参加比赛。</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（二）具体绩效分析</w:t>
      </w:r>
    </w:p>
    <w:tbl>
      <w:tblPr>
        <w:tblStyle w:val="16"/>
        <w:tblW w:w="0" w:type="auto"/>
        <w:tblInd w:w="100" w:type="dxa"/>
        <w:tblLayout w:type="fixed"/>
        <w:tblCellMar>
          <w:top w:w="0" w:type="dxa"/>
          <w:left w:w="108" w:type="dxa"/>
          <w:bottom w:w="0" w:type="dxa"/>
          <w:right w:w="108" w:type="dxa"/>
        </w:tblCellMar>
      </w:tblPr>
      <w:tblGrid>
        <w:gridCol w:w="786"/>
        <w:gridCol w:w="1341"/>
        <w:gridCol w:w="1420"/>
        <w:gridCol w:w="3805"/>
        <w:gridCol w:w="946"/>
      </w:tblGrid>
      <w:tr>
        <w:tblPrEx>
          <w:tblCellMar>
            <w:top w:w="0" w:type="dxa"/>
            <w:left w:w="108" w:type="dxa"/>
            <w:bottom w:w="0" w:type="dxa"/>
            <w:right w:w="108" w:type="dxa"/>
          </w:tblCellMar>
        </w:tblPrEx>
        <w:trPr>
          <w:trHeight w:val="494" w:hRule="atLeast"/>
        </w:trPr>
        <w:tc>
          <w:tcPr>
            <w:tcW w:w="786" w:type="dxa"/>
            <w:vMerge w:val="restart"/>
            <w:tcBorders>
              <w:top w:val="single" w:color="000000" w:sz="4" w:space="0"/>
              <w:left w:val="single" w:color="000000" w:sz="4" w:space="0"/>
              <w:bottom w:val="nil"/>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绩</w:t>
            </w:r>
            <w:r>
              <w:rPr>
                <w:rFonts w:cs="宋体"/>
                <w:sz w:val="22"/>
                <w:szCs w:val="22"/>
              </w:rPr>
              <w:br w:type="textWrapping"/>
            </w:r>
            <w:r>
              <w:rPr>
                <w:rFonts w:cs="宋体"/>
                <w:sz w:val="22"/>
                <w:szCs w:val="22"/>
              </w:rPr>
              <w:t>效</w:t>
            </w:r>
            <w:r>
              <w:rPr>
                <w:rFonts w:cs="宋体"/>
                <w:sz w:val="22"/>
                <w:szCs w:val="22"/>
              </w:rPr>
              <w:br w:type="textWrapping"/>
            </w:r>
            <w:r>
              <w:rPr>
                <w:rFonts w:cs="宋体"/>
                <w:sz w:val="22"/>
                <w:szCs w:val="22"/>
              </w:rPr>
              <w:t>指</w:t>
            </w:r>
            <w:r>
              <w:rPr>
                <w:rFonts w:cs="宋体"/>
                <w:sz w:val="22"/>
                <w:szCs w:val="22"/>
              </w:rPr>
              <w:br w:type="textWrapping"/>
            </w:r>
            <w:r>
              <w:rPr>
                <w:rFonts w:cs="宋体"/>
                <w:sz w:val="22"/>
                <w:szCs w:val="22"/>
              </w:rPr>
              <w:t>标</w:t>
            </w:r>
          </w:p>
        </w:tc>
        <w:tc>
          <w:tcPr>
            <w:tcW w:w="134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一级指标</w:t>
            </w:r>
          </w:p>
        </w:tc>
        <w:tc>
          <w:tcPr>
            <w:tcW w:w="1420"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二级指标</w:t>
            </w:r>
          </w:p>
        </w:tc>
        <w:tc>
          <w:tcPr>
            <w:tcW w:w="380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三级指标</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得分</w:t>
            </w:r>
          </w:p>
        </w:tc>
      </w:tr>
      <w:tr>
        <w:tblPrEx>
          <w:tblCellMar>
            <w:top w:w="0" w:type="dxa"/>
            <w:left w:w="108" w:type="dxa"/>
            <w:bottom w:w="0" w:type="dxa"/>
            <w:right w:w="108" w:type="dxa"/>
          </w:tblCellMar>
        </w:tblPrEx>
        <w:trPr>
          <w:trHeight w:val="384"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1"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产出指标</w:t>
            </w:r>
          </w:p>
        </w:tc>
        <w:tc>
          <w:tcPr>
            <w:tcW w:w="1420" w:type="dxa"/>
            <w:vMerge w:val="restart"/>
            <w:tcBorders>
              <w:top w:val="nil"/>
              <w:left w:val="nil"/>
              <w:bottom w:val="nil"/>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数量指标</w:t>
            </w:r>
          </w:p>
        </w:tc>
        <w:tc>
          <w:tcPr>
            <w:tcW w:w="380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知识竞赛参与队伍</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384"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vMerge w:val="continue"/>
            <w:tcBorders>
              <w:top w:val="nil"/>
              <w:left w:val="nil"/>
              <w:bottom w:val="nil"/>
              <w:right w:val="single" w:color="000000" w:sz="4" w:space="0"/>
            </w:tcBorders>
            <w:shd w:val="clear" w:color="auto" w:fill="auto"/>
            <w:vAlign w:val="center"/>
          </w:tcPr>
          <w:p>
            <w:pPr>
              <w:rPr>
                <w:rFonts w:hint="default" w:ascii="Times New Roman" w:hAnsi="Times New Roman"/>
                <w:sz w:val="20"/>
                <w:szCs w:val="20"/>
              </w:rPr>
            </w:pPr>
          </w:p>
        </w:tc>
        <w:tc>
          <w:tcPr>
            <w:tcW w:w="380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比赛场次</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397"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vMerge w:val="continue"/>
            <w:tcBorders>
              <w:top w:val="nil"/>
              <w:left w:val="nil"/>
              <w:bottom w:val="nil"/>
              <w:right w:val="single" w:color="000000" w:sz="4" w:space="0"/>
            </w:tcBorders>
            <w:shd w:val="clear" w:color="auto" w:fill="auto"/>
            <w:vAlign w:val="center"/>
          </w:tcPr>
          <w:p>
            <w:pPr>
              <w:rPr>
                <w:rFonts w:hint="default" w:ascii="Times New Roman" w:hAnsi="Times New Roman"/>
                <w:sz w:val="20"/>
                <w:szCs w:val="20"/>
              </w:rPr>
            </w:pPr>
          </w:p>
        </w:tc>
        <w:tc>
          <w:tcPr>
            <w:tcW w:w="380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覆盖人数</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1394"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vMerge w:val="restart"/>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质量指标</w:t>
            </w:r>
          </w:p>
        </w:tc>
        <w:tc>
          <w:tcPr>
            <w:tcW w:w="380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知识竞赛进入决赛选手，决赛中12名个人选手9名通关，显示了较高的比赛质量，最终产生参赛选手5名，参赛替补选手2人。比赛质量较高。</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435"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vMerge w:val="continue"/>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0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评选出学习强国总积分50强</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414"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vMerge w:val="continue"/>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0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评选出学习强国年度积分50强</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1411"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1"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效益指标</w:t>
            </w:r>
          </w:p>
        </w:tc>
        <w:tc>
          <w:tcPr>
            <w:tcW w:w="1420"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社会效益指标</w:t>
            </w:r>
          </w:p>
        </w:tc>
        <w:tc>
          <w:tcPr>
            <w:tcW w:w="380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活动广泛动员14县（市）区、4个开发（度假）区和7个派出工委，超过500个单位开展知识竞赛、学习强国线上学习、学习强国线上答题。</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450"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可持续影响指标</w:t>
            </w:r>
          </w:p>
        </w:tc>
        <w:tc>
          <w:tcPr>
            <w:tcW w:w="380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“学习强国”学习平台的使用率</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w:t>
            </w:r>
          </w:p>
        </w:tc>
      </w:tr>
      <w:tr>
        <w:tblPrEx>
          <w:tblCellMar>
            <w:top w:w="0" w:type="dxa"/>
            <w:left w:w="108" w:type="dxa"/>
            <w:bottom w:w="0" w:type="dxa"/>
            <w:right w:w="108" w:type="dxa"/>
          </w:tblCellMar>
        </w:tblPrEx>
        <w:trPr>
          <w:trHeight w:val="719"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1"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0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学习强国挑战答题、双人对战答题水平</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w:t>
            </w:r>
          </w:p>
        </w:tc>
      </w:tr>
      <w:tr>
        <w:tblPrEx>
          <w:tblCellMar>
            <w:top w:w="0" w:type="dxa"/>
            <w:left w:w="108" w:type="dxa"/>
            <w:bottom w:w="0" w:type="dxa"/>
            <w:right w:w="108" w:type="dxa"/>
          </w:tblCellMar>
        </w:tblPrEx>
        <w:trPr>
          <w:trHeight w:val="629"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满意度</w:t>
            </w:r>
            <w:r>
              <w:rPr>
                <w:rFonts w:cs="宋体"/>
                <w:sz w:val="22"/>
                <w:szCs w:val="22"/>
              </w:rPr>
              <w:br w:type="textWrapping"/>
            </w:r>
            <w:r>
              <w:rPr>
                <w:rFonts w:cs="宋体"/>
                <w:sz w:val="22"/>
                <w:szCs w:val="22"/>
              </w:rPr>
              <w:t>指标</w:t>
            </w:r>
          </w:p>
        </w:tc>
        <w:tc>
          <w:tcPr>
            <w:tcW w:w="1420"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服务对象满意度指标</w:t>
            </w:r>
          </w:p>
        </w:tc>
        <w:tc>
          <w:tcPr>
            <w:tcW w:w="380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参赛单位、公众满意度</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629" w:hRule="atLeast"/>
        </w:trPr>
        <w:tc>
          <w:tcPr>
            <w:tcW w:w="7352" w:type="dxa"/>
            <w:gridSpan w:val="4"/>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合计：</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98</w:t>
            </w:r>
          </w:p>
        </w:tc>
      </w:tr>
    </w:tbl>
    <w:p>
      <w:pPr>
        <w:snapToGrid w:val="0"/>
        <w:spacing w:line="600" w:lineRule="exact"/>
        <w:jc w:val="both"/>
        <w:rPr>
          <w:rFonts w:hint="default" w:ascii="黑体" w:eastAsia="黑体" w:cs="黑体"/>
          <w:sz w:val="32"/>
          <w:szCs w:val="32"/>
        </w:rPr>
      </w:pPr>
      <w:r>
        <w:rPr>
          <w:rFonts w:ascii="仿宋_GB2312" w:eastAsia="仿宋_GB2312" w:cs="仿宋_GB2312"/>
          <w:sz w:val="32"/>
          <w:szCs w:val="32"/>
        </w:rPr>
        <w:t xml:space="preserve">   </w:t>
      </w:r>
      <w:r>
        <w:rPr>
          <w:rFonts w:ascii="黑体" w:eastAsia="黑体" w:cs="黑体"/>
          <w:sz w:val="32"/>
          <w:szCs w:val="32"/>
        </w:rPr>
        <w:t>四、成本效益分析</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1.项目的经济性分析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在项目成本（预算）控制方面，主要从技术开发、活动宣传、推广、征集作品奖金等方面来控制，对项目相关的费用逐一列项，严格审查，在保证项目正常实施的情况下，节约各项开支。</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2.项目支出结构</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80%费用投入场地租赁、布置、奖品购买、平板电脑租赁，20%的费用用于专家评审劳务费等。</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3.项目有效性分析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中共昆明市委宣传部下发的《关于组织举办第三届昆明市“学习强国·学习达人”学习竞赛的通知》，各县（市）区委宣传部、各开发（度假）区党工委工作部、市委各派出党工委自行组织选拔赛，遴选优秀选手组建1支代表队，全市共组建24支代表队。于2022年5月6日至5月7日在昆明市新闻中心举行比赛，首先进行的是资格赛，其次是淘汰赛，最终有12位个人赛选手、10支团体赛队伍进入决赛。经过激烈的比拼最终评选出个人赛一等奖1个、二等奖4个、三等奖7个，团体赛一等奖1个、二等奖3个、三等奖6个。</w:t>
      </w:r>
    </w:p>
    <w:p>
      <w:pPr>
        <w:spacing w:line="600" w:lineRule="exact"/>
        <w:jc w:val="both"/>
        <w:rPr>
          <w:rFonts w:hint="default" w:ascii="仿宋" w:hAnsi="仿宋" w:eastAsia="仿宋" w:cs="仿宋"/>
          <w:sz w:val="32"/>
          <w:szCs w:val="32"/>
        </w:rPr>
      </w:pPr>
      <w:r>
        <w:rPr>
          <w:rFonts w:ascii="仿宋" w:hAnsi="仿宋" w:eastAsia="仿宋" w:cs="仿宋"/>
          <w:sz w:val="32"/>
          <w:szCs w:val="32"/>
        </w:rPr>
        <w:t>市级决赛产生省级赛预备队选手，于省级赛前开展两轮累计7天的赛前脱产集训，于7月17日至28日期间脱产培训参加比赛。</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4.项目的可持续性分析</w:t>
      </w:r>
    </w:p>
    <w:p>
      <w:pPr>
        <w:spacing w:line="600" w:lineRule="exact"/>
        <w:jc w:val="both"/>
        <w:rPr>
          <w:rFonts w:hint="default" w:ascii="仿宋_GB2312" w:eastAsia="仿宋_GB2312" w:cs="仿宋_GB2312"/>
          <w:sz w:val="32"/>
          <w:szCs w:val="32"/>
        </w:rPr>
      </w:pPr>
      <w:r>
        <w:rPr>
          <w:rFonts w:ascii="仿宋" w:hAnsi="仿宋" w:eastAsia="仿宋" w:cs="仿宋"/>
          <w:sz w:val="32"/>
          <w:szCs w:val="32"/>
        </w:rPr>
        <w:t xml:space="preserve">    比赛充分调动大家使用学习强国APP的乐趣及频率。通过此项目的开展，形成你追我赶、比学赶超的学习氛围，有力引导了广大党员干部群众深入学习领会习近平总书记在党史学习教育动员大会上的重要讲话精神，做到学党史、悟思想、办实事、开新局。</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五、主要经验及做法、存在的问题和建议</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（一）主要经验及做法</w:t>
      </w:r>
    </w:p>
    <w:p>
      <w:pPr>
        <w:spacing w:line="600" w:lineRule="exact"/>
        <w:ind w:firstLine="640" w:firstLineChars="200"/>
        <w:jc w:val="both"/>
        <w:rPr>
          <w:rFonts w:hint="default" w:ascii="仿宋" w:hAnsi="仿宋" w:eastAsia="仿宋" w:cs="仿宋"/>
          <w:sz w:val="32"/>
          <w:szCs w:val="32"/>
        </w:rPr>
      </w:pPr>
      <w:r>
        <w:rPr>
          <w:rStyle w:val="61"/>
          <w:rFonts w:hint="eastAsia" w:ascii="仿宋" w:hAnsi="仿宋" w:eastAsia="仿宋" w:cs="仿宋"/>
          <w:sz w:val="32"/>
          <w:szCs w:val="32"/>
        </w:rPr>
        <w:t>第三届昆明市“学习强国·学习达人”学习竞赛，利用学习强国APP进行学习</w:t>
      </w:r>
      <w:r>
        <w:rPr>
          <w:rFonts w:ascii="仿宋" w:hAnsi="仿宋" w:eastAsia="仿宋" w:cs="仿宋"/>
          <w:sz w:val="32"/>
          <w:szCs w:val="32"/>
        </w:rPr>
        <w:t>，使得广大干部职工可以充分利用碎片化学习时间展开学习，做到随时随地学。线下复赛和决赛的方式，面对面、一对一的较量，紧张激烈，极大地激发了广大党员干部的学习热情，也倒逼广大党员干部在前期复习中扎扎实实复习和学习，确保了学习成效。</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学习强国学习达人的评比，则是一个长期学习的助推器。因为评比的年度积分和总积分，是日积月累形成的，而不是一朝一夕能够做到的，含金量很高。对学习达人的表彰，在全市树立了学习榜样，也推动了各个单位用好学习强国平台。</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（二）存在的问题</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比赛最终选出的优秀选手将进行组队，形成团队赛、个人赛推荐至云南省知识竞赛，但是临时调整搭配的团队还需形成一定的默契才能更好地冲刺省赛，在今后的比赛中应加强团队之间的配合。</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（三）建议和改进措施</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对线下比赛的各位选手的考察应更加全面仔细。</w:t>
      </w:r>
    </w:p>
    <w:p>
      <w:pPr>
        <w:overflowPunct w:val="0"/>
        <w:spacing w:line="600" w:lineRule="exact"/>
        <w:jc w:val="both"/>
        <w:rPr>
          <w:rFonts w:hint="default" w:cs="宋体"/>
          <w:sz w:val="32"/>
          <w:szCs w:val="32"/>
        </w:rPr>
      </w:pPr>
      <w:r>
        <w:rPr>
          <w:rFonts w:cs="宋体"/>
          <w:sz w:val="32"/>
          <w:szCs w:val="32"/>
        </w:rPr>
        <w:t xml:space="preserve"> </w:t>
      </w:r>
    </w:p>
    <w:p>
      <w:pPr>
        <w:overflowPunct w:val="0"/>
        <w:spacing w:line="600" w:lineRule="exact"/>
        <w:jc w:val="both"/>
        <w:rPr>
          <w:rFonts w:hint="default" w:cs="宋体"/>
          <w:sz w:val="32"/>
          <w:szCs w:val="32"/>
        </w:rPr>
      </w:pPr>
      <w:r>
        <w:rPr>
          <w:rFonts w:cs="宋体"/>
          <w:sz w:val="32"/>
          <w:szCs w:val="32"/>
        </w:rPr>
        <w:t xml:space="preserve"> </w:t>
      </w:r>
    </w:p>
    <w:p>
      <w:pPr>
        <w:overflowPunct w:val="0"/>
        <w:spacing w:line="600" w:lineRule="exact"/>
        <w:jc w:val="both"/>
        <w:rPr>
          <w:rFonts w:hint="default" w:cs="宋体"/>
          <w:sz w:val="32"/>
          <w:szCs w:val="32"/>
        </w:rPr>
      </w:pPr>
      <w:r>
        <w:rPr>
          <w:rFonts w:cs="宋体"/>
          <w:sz w:val="32"/>
          <w:szCs w:val="32"/>
        </w:rPr>
        <w:t xml:space="preserve"> </w:t>
      </w:r>
    </w:p>
    <w:p>
      <w:pPr>
        <w:overflowPunct w:val="0"/>
        <w:spacing w:line="600" w:lineRule="exact"/>
        <w:jc w:val="both"/>
        <w:rPr>
          <w:rFonts w:hint="default" w:cs="宋体"/>
          <w:sz w:val="32"/>
          <w:szCs w:val="32"/>
        </w:rPr>
      </w:pPr>
      <w:r>
        <w:rPr>
          <w:rFonts w:cs="宋体"/>
          <w:sz w:val="32"/>
          <w:szCs w:val="32"/>
        </w:rPr>
        <w:t xml:space="preserve"> </w:t>
      </w:r>
    </w:p>
    <w:p>
      <w:pPr>
        <w:overflowPunct w:val="0"/>
        <w:spacing w:line="600" w:lineRule="exact"/>
        <w:jc w:val="both"/>
        <w:rPr>
          <w:rFonts w:hint="default" w:cs="宋体"/>
          <w:sz w:val="32"/>
          <w:szCs w:val="32"/>
        </w:rPr>
      </w:pPr>
      <w:r>
        <w:rPr>
          <w:rFonts w:cs="宋体"/>
          <w:sz w:val="32"/>
          <w:szCs w:val="32"/>
        </w:rPr>
        <w:t xml:space="preserve"> </w:t>
      </w:r>
    </w:p>
    <w:p>
      <w:pPr>
        <w:overflowPunct w:val="0"/>
        <w:spacing w:line="600" w:lineRule="exact"/>
        <w:jc w:val="both"/>
        <w:rPr>
          <w:rFonts w:hint="default" w:cs="宋体"/>
          <w:sz w:val="32"/>
          <w:szCs w:val="32"/>
        </w:rPr>
      </w:pPr>
      <w:r>
        <w:rPr>
          <w:rFonts w:cs="宋体"/>
          <w:sz w:val="32"/>
          <w:szCs w:val="32"/>
        </w:rPr>
        <w:t xml:space="preserve"> </w:t>
      </w:r>
    </w:p>
    <w:p>
      <w:pPr>
        <w:overflowPunct w:val="0"/>
        <w:spacing w:line="600" w:lineRule="exact"/>
        <w:jc w:val="both"/>
        <w:rPr>
          <w:rFonts w:hint="default" w:cs="宋体"/>
          <w:sz w:val="32"/>
          <w:szCs w:val="32"/>
        </w:rPr>
      </w:pPr>
      <w:r>
        <w:rPr>
          <w:rFonts w:cs="宋体"/>
          <w:sz w:val="32"/>
          <w:szCs w:val="32"/>
        </w:rPr>
        <w:t xml:space="preserve"> </w:t>
      </w:r>
    </w:p>
    <w:p>
      <w:pPr>
        <w:overflowPunct w:val="0"/>
        <w:spacing w:line="600" w:lineRule="exact"/>
        <w:jc w:val="both"/>
        <w:rPr>
          <w:rFonts w:hint="default" w:cs="宋体"/>
          <w:sz w:val="32"/>
          <w:szCs w:val="32"/>
        </w:rPr>
      </w:pPr>
      <w:r>
        <w:rPr>
          <w:rFonts w:cs="宋体"/>
          <w:sz w:val="32"/>
          <w:szCs w:val="32"/>
        </w:rPr>
        <w:t xml:space="preserve"> </w:t>
      </w:r>
    </w:p>
    <w:p>
      <w:pPr>
        <w:overflowPunct w:val="0"/>
        <w:spacing w:line="600" w:lineRule="exact"/>
        <w:jc w:val="both"/>
        <w:rPr>
          <w:rFonts w:hint="default" w:cs="宋体"/>
          <w:sz w:val="32"/>
          <w:szCs w:val="32"/>
        </w:rPr>
      </w:pPr>
      <w:r>
        <w:rPr>
          <w:rFonts w:cs="宋体"/>
          <w:sz w:val="32"/>
          <w:szCs w:val="32"/>
        </w:rPr>
        <w:t xml:space="preserve"> </w:t>
      </w:r>
    </w:p>
    <w:p>
      <w:pPr>
        <w:overflowPunct w:val="0"/>
        <w:spacing w:line="600" w:lineRule="exact"/>
        <w:jc w:val="both"/>
        <w:rPr>
          <w:rFonts w:hint="default" w:cs="宋体"/>
          <w:sz w:val="32"/>
          <w:szCs w:val="32"/>
        </w:rPr>
      </w:pPr>
      <w:r>
        <w:rPr>
          <w:rFonts w:cs="宋体"/>
          <w:sz w:val="32"/>
          <w:szCs w:val="32"/>
        </w:rPr>
        <w:t xml:space="preserve"> </w:t>
      </w:r>
    </w:p>
    <w:p>
      <w:pPr>
        <w:overflowPunct w:val="0"/>
        <w:spacing w:line="600" w:lineRule="exact"/>
        <w:jc w:val="both"/>
        <w:rPr>
          <w:rFonts w:hint="default" w:cs="宋体"/>
          <w:sz w:val="32"/>
          <w:szCs w:val="32"/>
        </w:rPr>
      </w:pPr>
      <w:r>
        <w:rPr>
          <w:rFonts w:cs="宋体"/>
          <w:sz w:val="32"/>
          <w:szCs w:val="32"/>
        </w:rPr>
        <w:t xml:space="preserve"> </w:t>
      </w:r>
    </w:p>
    <w:p>
      <w:pPr>
        <w:overflowPunct w:val="0"/>
        <w:spacing w:line="600" w:lineRule="exact"/>
        <w:jc w:val="both"/>
        <w:rPr>
          <w:rFonts w:hint="default" w:cs="宋体"/>
          <w:sz w:val="32"/>
          <w:szCs w:val="32"/>
        </w:rPr>
      </w:pPr>
    </w:p>
    <w:p>
      <w:pPr>
        <w:overflowPunct w:val="0"/>
        <w:spacing w:line="600" w:lineRule="exact"/>
        <w:jc w:val="both"/>
        <w:rPr>
          <w:rFonts w:hint="default" w:cs="宋体"/>
          <w:sz w:val="32"/>
          <w:szCs w:val="32"/>
        </w:rPr>
      </w:pPr>
    </w:p>
    <w:p>
      <w:pPr>
        <w:overflowPunct w:val="0"/>
        <w:spacing w:line="600" w:lineRule="exact"/>
        <w:jc w:val="both"/>
        <w:rPr>
          <w:rFonts w:hint="default" w:ascii="楷体_GB2312" w:eastAsia="楷体_GB2312" w:cs="楷体_GB2312"/>
          <w:sz w:val="32"/>
          <w:szCs w:val="32"/>
        </w:rPr>
      </w:pPr>
      <w:r>
        <w:rPr>
          <w:rFonts w:cs="宋体"/>
          <w:sz w:val="32"/>
          <w:szCs w:val="32"/>
        </w:rPr>
        <w:t>项目五：</w:t>
      </w:r>
    </w:p>
    <w:p>
      <w:pPr>
        <w:spacing w:line="600" w:lineRule="exact"/>
        <w:jc w:val="center"/>
        <w:rPr>
          <w:rFonts w:hint="default" w:ascii="方正小标宋简体" w:hAnsi="方正小标宋简体" w:eastAsia="方正小标宋简体" w:cs="方正小标宋简体"/>
          <w:b/>
          <w:sz w:val="44"/>
          <w:szCs w:val="44"/>
        </w:rPr>
      </w:pPr>
      <w:r>
        <w:rPr>
          <w:rFonts w:ascii="方正小标宋简体" w:hAnsi="方正小标宋简体" w:eastAsia="方正小标宋简体" w:cs="方正小标宋简体"/>
          <w:sz w:val="44"/>
          <w:szCs w:val="44"/>
        </w:rPr>
        <w:t>2022</w:t>
      </w:r>
      <w:r>
        <w:rPr>
          <w:rFonts w:cs="宋体"/>
          <w:sz w:val="44"/>
          <w:szCs w:val="44"/>
        </w:rPr>
        <w:t>年省理论宣讲大赛参赛节目《振兴》排演经费项目支出绩效自评报告</w:t>
      </w:r>
    </w:p>
    <w:p>
      <w:pPr>
        <w:topLinePunct/>
        <w:spacing w:line="600" w:lineRule="exact"/>
        <w:ind w:firstLine="800" w:firstLineChars="250"/>
        <w:jc w:val="both"/>
        <w:rPr>
          <w:rFonts w:hint="default" w:ascii="仿宋_GB2312" w:eastAsia="仿宋_GB2312" w:cs="仿宋_GB2312"/>
          <w:sz w:val="32"/>
          <w:szCs w:val="32"/>
        </w:rPr>
      </w:pPr>
      <w:r>
        <w:rPr>
          <w:rFonts w:ascii="仿宋_GB2312" w:eastAsia="仿宋_GB2312" w:cs="仿宋_GB2312"/>
          <w:sz w:val="32"/>
          <w:szCs w:val="32"/>
        </w:rPr>
        <w:t xml:space="preserve"> </w:t>
      </w:r>
    </w:p>
    <w:p>
      <w:pPr>
        <w:topLinePunct/>
        <w:spacing w:line="600" w:lineRule="exact"/>
        <w:ind w:firstLine="800" w:firstLineChars="250"/>
        <w:jc w:val="both"/>
        <w:rPr>
          <w:rFonts w:hint="default" w:ascii="黑体" w:eastAsia="黑体" w:cs="黑体"/>
          <w:sz w:val="32"/>
          <w:szCs w:val="32"/>
        </w:rPr>
      </w:pPr>
      <w:r>
        <w:rPr>
          <w:rFonts w:ascii="黑体" w:eastAsia="黑体" w:cs="黑体"/>
          <w:sz w:val="32"/>
          <w:szCs w:val="32"/>
        </w:rPr>
        <w:t>一、项目基本情况</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（一）项目立项背景及目的</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1.立项背景及目的</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根据省委宣传部《关于举办“砥砺奋进新征程 喜迎党的二十大——党的创新理论我来讲”理论宣讲大赛决赛活动的通知》要求，昆明市级比赛中脱颖而出的文艺类作品《振兴》入围。为在赛前全面提升《振兴》节目水准，争取在决赛中取得好成绩</w:t>
      </w:r>
      <w:r>
        <w:rPr>
          <w:rStyle w:val="61"/>
          <w:rFonts w:hint="eastAsia" w:ascii="仿宋" w:hAnsi="仿宋" w:eastAsia="仿宋" w:cs="仿宋"/>
          <w:sz w:val="32"/>
          <w:szCs w:val="32"/>
        </w:rPr>
        <w:t>。</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topLinePunct/>
        <w:spacing w:line="600" w:lineRule="exact"/>
        <w:ind w:firstLine="640" w:firstLineChars="200"/>
        <w:jc w:val="both"/>
        <w:rPr>
          <w:rFonts w:hint="default" w:ascii="仿宋" w:hAnsi="仿宋" w:eastAsia="仿宋" w:cs="仿宋"/>
          <w:sz w:val="32"/>
          <w:szCs w:val="32"/>
        </w:rPr>
      </w:pPr>
      <w:r>
        <w:rPr>
          <w:rStyle w:val="61"/>
          <w:rFonts w:hint="eastAsia" w:ascii="仿宋" w:hAnsi="仿宋" w:eastAsia="仿宋" w:cs="仿宋"/>
          <w:sz w:val="32"/>
          <w:szCs w:val="32"/>
        </w:rPr>
        <w:t>根据省委宣传部《关于举办“砥砺奋进新征程 喜迎党的二十大——党的创新理论我来讲”理论宣讲大赛决赛活动的通知》要求。邀请省级知名话剧演绎专家——国家二级演员、省话剧院张建国老师团队对该作品进行有针对性的指导，包括修改提升剧本，进行为期5天的赛前辅导排练，为期3天的随队到红河州蒙自市参赛指导。</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3.资金来源及使用情况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项目资金来源为建设学习型领导班子和意识形态经费，预算资金1.5万元全部用于活动支出。</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4.组织及管理情况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邀请省级知名话剧演绎专家，国家二级演员、省话剧院张建国老师团队对该作品进行有针对性的指导，包括修改提升剧本，进行为期5天的赛前辅导排练，为期3天的随队到红河州蒙自市参赛指导，并获得云南省理论宣讲大赛文艺类三等奖。</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1.总目标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为在赛前全面提升《振兴》节目水准，争取在决赛中取得好成绩</w:t>
      </w:r>
      <w:r>
        <w:rPr>
          <w:rStyle w:val="61"/>
          <w:rFonts w:hint="eastAsia" w:ascii="仿宋" w:hAnsi="仿宋" w:eastAsia="仿宋" w:cs="仿宋"/>
          <w:sz w:val="32"/>
          <w:szCs w:val="32"/>
        </w:rPr>
        <w:t>。</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2.年度目标</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对《振兴》的表演文本进行修改提升，对三位表演的演绎进行指导调整。</w:t>
      </w:r>
    </w:p>
    <w:p>
      <w:pPr>
        <w:topLinePunct/>
        <w:spacing w:line="600" w:lineRule="exact"/>
        <w:ind w:firstLine="800" w:firstLineChars="250"/>
        <w:jc w:val="both"/>
        <w:rPr>
          <w:rFonts w:hint="default" w:ascii="黑体" w:eastAsia="黑体" w:cs="黑体"/>
          <w:sz w:val="32"/>
          <w:szCs w:val="32"/>
        </w:rPr>
      </w:pPr>
      <w:r>
        <w:rPr>
          <w:rFonts w:ascii="黑体" w:eastAsia="黑体" w:cs="黑体"/>
          <w:sz w:val="32"/>
          <w:szCs w:val="32"/>
        </w:rPr>
        <w:t>二、绩效评价工作情况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（一）绩效评价目的</w:t>
      </w:r>
    </w:p>
    <w:p>
      <w:pPr>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本次绩效评价，全面了解项目决策、过程、产出和效益等情况，评价财政资金使用绩效，找出存在的问题和原因，提出建设性意见建议，进一步规范资金分配和使用，并将绩效评价结果作为编报下年预算、改进加强管理、完善政策的重要依据，进一步提高资金使用效益。</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（二）绩效评价工作方案制定过程</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1.前期调研</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调研,对相关文件的解读，根据绩效评价的基本原理、原则和项目特点，结合绩效目标，由绩效评价小组按确定的评价指标体系、评分标准、评价方法和相关的工作程序和步骤，在规定的时间节点内开展绩效评价工作。</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2.绩效评价指标体系及工作方案的设计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绩效评价证据收集方法包括了研究、分析项目预算部门提供的相关文件；整理、汇总项目预算单位提供的项目资料、工作总结。根据上述方法，从项目的立项合理性，目标的明确性，预算的准确性和管理制度的合规性等方面，对评价对象进行绩效评价。</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（三）绩效评价原则、评价方法</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(1)科学规范。绩效评价注重财政支出的经济性、效率性和有效性，严格执行规定的程序，采用定量与定性分析相结合的方法。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(2)公正公开。绩效评价客观、公正，标准统一、资料可靠，依法公开。</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(3)绩效相关。绩效评价针对具体支出及其产出绩效进行评价,结果清晰反映支出和产出绩效之间的紧密对应关系。</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2.绩效评价方法</w:t>
      </w:r>
    </w:p>
    <w:p>
      <w:pPr>
        <w:spacing w:line="600" w:lineRule="exact"/>
        <w:ind w:firstLine="640" w:firstLineChars="200"/>
        <w:jc w:val="both"/>
        <w:rPr>
          <w:rFonts w:hint="default" w:ascii="仿宋_GB2312" w:eastAsia="仿宋_GB2312" w:cs="仿宋_GB2312"/>
          <w:sz w:val="32"/>
          <w:szCs w:val="32"/>
        </w:rPr>
      </w:pPr>
      <w:r>
        <w:rPr>
          <w:rFonts w:ascii="仿宋" w:hAnsi="仿宋" w:eastAsia="仿宋" w:cs="仿宋"/>
          <w:sz w:val="32"/>
          <w:szCs w:val="32"/>
        </w:rPr>
        <w:t>本次主要采用因素分析法，采取数据对比，标准和抽样调查相结合，同时辅以问卷抽查、资料研究等方法。</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（四）绩效评价实施过程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中华人民共和国预算法》《昆明市预算绩效管理暂行办法》（昆政办〔2013〕129号）等有关规定，结合部门职能职责，对照项目目标和实际完成情况，由单位分管领导牵头，各项目实施部门具体负责项目评价工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绩效评价围绕绩效目标的设定、资金投入和使用、为实现绩效目标制定的制度、采取的措施、绩效目标的实现程度及效果等方面内容开展自评。</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（五）本次绩效评价的局限性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本次项目评价由具体执行部门进行，依靠财政等有关部门和单位的指导，评价专业性不够，具有一定的局限性。</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三、评价结论和绩效分析</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项目绩效目标根据部门绩效目标制定，真实有效地反映了部门的职能，并且绩效可考核。项目资金使用有效合理，有严格的财务及内控制度把关，没有超出预算范围使用的情况发生。项目绩效指标及时完成并且完成情况良好。</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在赛前全面提升《振兴》节目水准，争取在决赛中取得好成绩。</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（二）具体绩效分析</w:t>
      </w:r>
    </w:p>
    <w:tbl>
      <w:tblPr>
        <w:tblStyle w:val="16"/>
        <w:tblW w:w="0" w:type="auto"/>
        <w:tblInd w:w="93" w:type="dxa"/>
        <w:tblLayout w:type="fixed"/>
        <w:tblCellMar>
          <w:top w:w="0" w:type="dxa"/>
          <w:left w:w="108" w:type="dxa"/>
          <w:bottom w:w="0" w:type="dxa"/>
          <w:right w:w="108" w:type="dxa"/>
        </w:tblCellMar>
      </w:tblPr>
      <w:tblGrid>
        <w:gridCol w:w="786"/>
        <w:gridCol w:w="1340"/>
        <w:gridCol w:w="1420"/>
        <w:gridCol w:w="3807"/>
        <w:gridCol w:w="945"/>
      </w:tblGrid>
      <w:tr>
        <w:tblPrEx>
          <w:tblCellMar>
            <w:top w:w="0" w:type="dxa"/>
            <w:left w:w="108" w:type="dxa"/>
            <w:bottom w:w="0" w:type="dxa"/>
            <w:right w:w="108" w:type="dxa"/>
          </w:tblCellMar>
        </w:tblPrEx>
        <w:trPr>
          <w:trHeight w:val="567" w:hRule="atLeast"/>
        </w:trPr>
        <w:tc>
          <w:tcPr>
            <w:tcW w:w="786" w:type="dxa"/>
            <w:vMerge w:val="restart"/>
            <w:tcBorders>
              <w:top w:val="single" w:color="000000" w:sz="4" w:space="0"/>
              <w:left w:val="single" w:color="000000" w:sz="4" w:space="0"/>
              <w:bottom w:val="nil"/>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绩</w:t>
            </w:r>
            <w:r>
              <w:rPr>
                <w:rFonts w:cs="宋体"/>
                <w:sz w:val="22"/>
                <w:szCs w:val="22"/>
              </w:rPr>
              <w:br w:type="textWrapping"/>
            </w:r>
            <w:r>
              <w:rPr>
                <w:rFonts w:cs="宋体"/>
                <w:sz w:val="22"/>
                <w:szCs w:val="22"/>
              </w:rPr>
              <w:t>效</w:t>
            </w:r>
            <w:r>
              <w:rPr>
                <w:rFonts w:cs="宋体"/>
                <w:sz w:val="22"/>
                <w:szCs w:val="22"/>
              </w:rPr>
              <w:br w:type="textWrapping"/>
            </w:r>
            <w:r>
              <w:rPr>
                <w:rFonts w:cs="宋体"/>
                <w:sz w:val="22"/>
                <w:szCs w:val="22"/>
              </w:rPr>
              <w:t>指</w:t>
            </w:r>
            <w:r>
              <w:rPr>
                <w:rFonts w:cs="宋体"/>
                <w:sz w:val="22"/>
                <w:szCs w:val="22"/>
              </w:rPr>
              <w:br w:type="textWrapping"/>
            </w:r>
            <w:r>
              <w:rPr>
                <w:rFonts w:cs="宋体"/>
                <w:sz w:val="22"/>
                <w:szCs w:val="22"/>
              </w:rPr>
              <w:t>标</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一级指标</w:t>
            </w:r>
          </w:p>
        </w:tc>
        <w:tc>
          <w:tcPr>
            <w:tcW w:w="1420"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二级指标</w:t>
            </w:r>
          </w:p>
        </w:tc>
        <w:tc>
          <w:tcPr>
            <w:tcW w:w="3807"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三级指标</w:t>
            </w:r>
          </w:p>
        </w:tc>
        <w:tc>
          <w:tcPr>
            <w:tcW w:w="94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得分</w:t>
            </w:r>
          </w:p>
        </w:tc>
      </w:tr>
      <w:tr>
        <w:tblPrEx>
          <w:tblCellMar>
            <w:top w:w="0" w:type="dxa"/>
            <w:left w:w="108" w:type="dxa"/>
            <w:bottom w:w="0" w:type="dxa"/>
            <w:right w:w="108" w:type="dxa"/>
          </w:tblCellMar>
        </w:tblPrEx>
        <w:trPr>
          <w:trHeight w:val="506"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0"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产出指标</w:t>
            </w:r>
          </w:p>
        </w:tc>
        <w:tc>
          <w:tcPr>
            <w:tcW w:w="1420"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数量指标</w:t>
            </w:r>
          </w:p>
        </w:tc>
        <w:tc>
          <w:tcPr>
            <w:tcW w:w="3807"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排练指导老师</w:t>
            </w:r>
          </w:p>
        </w:tc>
        <w:tc>
          <w:tcPr>
            <w:tcW w:w="94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12</w:t>
            </w:r>
          </w:p>
        </w:tc>
      </w:tr>
      <w:tr>
        <w:tblPrEx>
          <w:tblCellMar>
            <w:top w:w="0" w:type="dxa"/>
            <w:left w:w="108" w:type="dxa"/>
            <w:bottom w:w="0" w:type="dxa"/>
            <w:right w:w="108" w:type="dxa"/>
          </w:tblCellMar>
        </w:tblPrEx>
        <w:trPr>
          <w:trHeight w:val="506"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07"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排练天数</w:t>
            </w:r>
          </w:p>
        </w:tc>
        <w:tc>
          <w:tcPr>
            <w:tcW w:w="94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12</w:t>
            </w:r>
          </w:p>
        </w:tc>
      </w:tr>
      <w:tr>
        <w:tblPrEx>
          <w:tblCellMar>
            <w:top w:w="0" w:type="dxa"/>
            <w:left w:w="108" w:type="dxa"/>
            <w:bottom w:w="0" w:type="dxa"/>
            <w:right w:w="108" w:type="dxa"/>
          </w:tblCellMar>
        </w:tblPrEx>
        <w:trPr>
          <w:trHeight w:val="626"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07"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录制节目视频</w:t>
            </w:r>
          </w:p>
        </w:tc>
        <w:tc>
          <w:tcPr>
            <w:tcW w:w="94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12</w:t>
            </w:r>
          </w:p>
        </w:tc>
      </w:tr>
      <w:tr>
        <w:tblPrEx>
          <w:tblCellMar>
            <w:top w:w="0" w:type="dxa"/>
            <w:left w:w="108" w:type="dxa"/>
            <w:bottom w:w="0" w:type="dxa"/>
            <w:right w:w="108" w:type="dxa"/>
          </w:tblCellMar>
        </w:tblPrEx>
        <w:trPr>
          <w:trHeight w:val="626"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质量指标</w:t>
            </w:r>
          </w:p>
        </w:tc>
        <w:tc>
          <w:tcPr>
            <w:tcW w:w="3807"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背景视频及音效设计制作</w:t>
            </w:r>
          </w:p>
        </w:tc>
        <w:tc>
          <w:tcPr>
            <w:tcW w:w="94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12</w:t>
            </w:r>
          </w:p>
        </w:tc>
      </w:tr>
      <w:tr>
        <w:tblPrEx>
          <w:tblCellMar>
            <w:top w:w="0" w:type="dxa"/>
            <w:left w:w="108" w:type="dxa"/>
            <w:bottom w:w="0" w:type="dxa"/>
            <w:right w:w="108" w:type="dxa"/>
          </w:tblCellMar>
        </w:tblPrEx>
        <w:trPr>
          <w:trHeight w:val="506"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07"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剧本修改</w:t>
            </w:r>
          </w:p>
        </w:tc>
        <w:tc>
          <w:tcPr>
            <w:tcW w:w="94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12</w:t>
            </w:r>
          </w:p>
        </w:tc>
      </w:tr>
      <w:tr>
        <w:tblPrEx>
          <w:tblCellMar>
            <w:top w:w="0" w:type="dxa"/>
            <w:left w:w="108" w:type="dxa"/>
            <w:bottom w:w="0" w:type="dxa"/>
            <w:right w:w="108" w:type="dxa"/>
          </w:tblCellMar>
        </w:tblPrEx>
        <w:trPr>
          <w:trHeight w:val="1027"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0"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效益指标</w:t>
            </w:r>
          </w:p>
        </w:tc>
        <w:tc>
          <w:tcPr>
            <w:tcW w:w="1420"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社会效益指标</w:t>
            </w:r>
          </w:p>
        </w:tc>
        <w:tc>
          <w:tcPr>
            <w:tcW w:w="3807"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带动各县市区、开发（度假）区创新理论宣讲</w:t>
            </w:r>
          </w:p>
        </w:tc>
        <w:tc>
          <w:tcPr>
            <w:tcW w:w="94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15</w:t>
            </w:r>
          </w:p>
        </w:tc>
      </w:tr>
      <w:tr>
        <w:tblPrEx>
          <w:tblCellMar>
            <w:top w:w="0" w:type="dxa"/>
            <w:left w:w="108" w:type="dxa"/>
            <w:bottom w:w="0" w:type="dxa"/>
            <w:right w:w="108" w:type="dxa"/>
          </w:tblCellMar>
        </w:tblPrEx>
        <w:trPr>
          <w:trHeight w:val="676"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0"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0" w:type="dxa"/>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可持续影响</w:t>
            </w:r>
            <w:r>
              <w:rPr>
                <w:rFonts w:cs="宋体"/>
                <w:sz w:val="22"/>
                <w:szCs w:val="22"/>
              </w:rPr>
              <w:br w:type="textWrapping"/>
            </w:r>
            <w:r>
              <w:rPr>
                <w:rFonts w:cs="宋体"/>
                <w:sz w:val="22"/>
                <w:szCs w:val="22"/>
              </w:rPr>
              <w:t>指标</w:t>
            </w:r>
          </w:p>
        </w:tc>
        <w:tc>
          <w:tcPr>
            <w:tcW w:w="3807"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宣讲节目视频的可持续带动作用</w:t>
            </w:r>
          </w:p>
        </w:tc>
        <w:tc>
          <w:tcPr>
            <w:tcW w:w="94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15</w:t>
            </w:r>
          </w:p>
        </w:tc>
      </w:tr>
      <w:tr>
        <w:tblPrEx>
          <w:tblCellMar>
            <w:top w:w="0" w:type="dxa"/>
            <w:left w:w="108" w:type="dxa"/>
            <w:bottom w:w="0" w:type="dxa"/>
            <w:right w:w="108" w:type="dxa"/>
          </w:tblCellMar>
        </w:tblPrEx>
        <w:trPr>
          <w:trHeight w:val="836" w:hRule="atLeast"/>
        </w:trPr>
        <w:tc>
          <w:tcPr>
            <w:tcW w:w="786"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0"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满意度</w:t>
            </w:r>
            <w:r>
              <w:rPr>
                <w:rFonts w:cs="宋体"/>
                <w:sz w:val="22"/>
                <w:szCs w:val="22"/>
              </w:rPr>
              <w:br w:type="textWrapping"/>
            </w:r>
            <w:r>
              <w:rPr>
                <w:rFonts w:cs="宋体"/>
                <w:sz w:val="22"/>
                <w:szCs w:val="22"/>
              </w:rPr>
              <w:t>指标</w:t>
            </w:r>
          </w:p>
        </w:tc>
        <w:tc>
          <w:tcPr>
            <w:tcW w:w="1420"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服务对象满意度指标</w:t>
            </w:r>
          </w:p>
        </w:tc>
        <w:tc>
          <w:tcPr>
            <w:tcW w:w="3807"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参赛单位、大赛评审专家满意度</w:t>
            </w:r>
          </w:p>
        </w:tc>
        <w:tc>
          <w:tcPr>
            <w:tcW w:w="94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8</w:t>
            </w:r>
          </w:p>
        </w:tc>
      </w:tr>
      <w:tr>
        <w:tblPrEx>
          <w:tblCellMar>
            <w:top w:w="0" w:type="dxa"/>
            <w:left w:w="108" w:type="dxa"/>
            <w:bottom w:w="0" w:type="dxa"/>
            <w:right w:w="108" w:type="dxa"/>
          </w:tblCellMar>
        </w:tblPrEx>
        <w:trPr>
          <w:trHeight w:val="836" w:hRule="atLeast"/>
        </w:trPr>
        <w:tc>
          <w:tcPr>
            <w:tcW w:w="7353" w:type="dxa"/>
            <w:gridSpan w:val="4"/>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合计：</w:t>
            </w:r>
          </w:p>
        </w:tc>
        <w:tc>
          <w:tcPr>
            <w:tcW w:w="945"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98</w:t>
            </w:r>
          </w:p>
        </w:tc>
      </w:tr>
    </w:tbl>
    <w:p>
      <w:pPr>
        <w:spacing w:line="600" w:lineRule="exact"/>
        <w:ind w:firstLine="640" w:firstLineChars="200"/>
        <w:jc w:val="both"/>
        <w:rPr>
          <w:rFonts w:hint="default" w:ascii="黑体" w:eastAsia="黑体" w:cs="黑体"/>
          <w:sz w:val="32"/>
          <w:szCs w:val="32"/>
        </w:rPr>
      </w:pPr>
      <w:r>
        <w:rPr>
          <w:rFonts w:ascii="黑体" w:eastAsia="黑体" w:cs="黑体"/>
          <w:sz w:val="32"/>
          <w:szCs w:val="32"/>
        </w:rPr>
        <w:t xml:space="preserve">四、成本效益分析 </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1.项目的经济性分析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在项目成本（预算）控制方面，主要从指导团队劳务费、服装道具租赁、化妆师劳务费等方面来控制，对项目相关的费用逐一列项，严格审查，在保证项目正常实施的情况下，节约各项开支。</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2.项目支出结构</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80%费用投入指导团队劳务费，20%的费用服装道具租赁、化妆师劳务费等。</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3.项目有效性分析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项目有效提升了作品《振兴》的文本水平和演绎水准。</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4.项目的可持续性分析</w:t>
      </w:r>
    </w:p>
    <w:p>
      <w:pPr>
        <w:spacing w:line="600" w:lineRule="exact"/>
        <w:jc w:val="both"/>
        <w:rPr>
          <w:rFonts w:hint="default" w:ascii="仿宋" w:hAnsi="仿宋" w:eastAsia="仿宋" w:cs="仿宋"/>
          <w:sz w:val="32"/>
          <w:szCs w:val="32"/>
        </w:rPr>
      </w:pPr>
      <w:r>
        <w:rPr>
          <w:rFonts w:ascii="仿宋" w:hAnsi="仿宋" w:eastAsia="仿宋" w:cs="仿宋"/>
          <w:sz w:val="32"/>
          <w:szCs w:val="32"/>
        </w:rPr>
        <w:t xml:space="preserve">    未来入围云南省理论宣讲大赛的作品，也可以邀请专业指导团队对作品的文本和演绎做提升。</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五、主要经验及做法、存在的问题和建议</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（一）主要经验及做法</w:t>
      </w:r>
    </w:p>
    <w:p>
      <w:pPr>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本次排演</w:t>
      </w:r>
      <w:r>
        <w:rPr>
          <w:rStyle w:val="61"/>
          <w:rFonts w:hint="eastAsia" w:ascii="仿宋" w:hAnsi="仿宋" w:eastAsia="仿宋" w:cs="仿宋"/>
          <w:sz w:val="32"/>
          <w:szCs w:val="32"/>
        </w:rPr>
        <w:t>邀请省级知名话剧演绎专家——国家二级演员、省话剧院张建国老师团队对入围云南省理论宣讲大赛作品《振兴》进行有针对性的指导</w:t>
      </w:r>
      <w:r>
        <w:rPr>
          <w:rFonts w:ascii="仿宋" w:hAnsi="仿宋" w:eastAsia="仿宋" w:cs="仿宋"/>
          <w:sz w:val="32"/>
          <w:szCs w:val="32"/>
        </w:rPr>
        <w:t>。修改剧本、指导表演，使该作品的整体质量得以提升。</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（二）存在的问题</w:t>
      </w:r>
    </w:p>
    <w:p>
      <w:pPr>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表演内容与创新理论的结合还不足。</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（三）改进措施及建议</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应该加强创新理论与表演文本的结合，使作品与比赛内容更加贴合。</w:t>
      </w:r>
    </w:p>
    <w:p>
      <w:pPr>
        <w:pStyle w:val="15"/>
        <w:jc w:val="both"/>
        <w:rPr>
          <w:rFonts w:ascii="楷体_GB2312" w:eastAsia="楷体_GB2312" w:cs="楷体_GB2312"/>
        </w:rPr>
      </w:pPr>
      <w:r>
        <w:rPr>
          <w:rFonts w:ascii="楷体_GB2312" w:eastAsia="楷体_GB2312" w:cs="楷体_GB231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pStyle w:val="15"/>
        <w:jc w:val="both"/>
        <w:rPr>
          <w:rFonts w:ascii="楷体_GB2312" w:eastAsia="楷体_GB2312" w:cs="楷体_GB2312"/>
        </w:rPr>
      </w:pPr>
      <w:r>
        <w:rPr>
          <w:rFonts w:ascii="楷体_GB2312" w:eastAsia="楷体_GB2312" w:cs="楷体_GB231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pStyle w:val="15"/>
        <w:jc w:val="both"/>
        <w:rPr>
          <w:rFonts w:ascii="楷体_GB2312" w:eastAsia="楷体_GB2312" w:cs="楷体_GB2312"/>
        </w:rPr>
      </w:pPr>
      <w:r>
        <w:rPr>
          <w:rFonts w:ascii="楷体_GB2312" w:eastAsia="楷体_GB2312" w:cs="楷体_GB2312"/>
        </w:rPr>
        <w:t xml:space="preserve"> </w:t>
      </w:r>
    </w:p>
    <w:p>
      <w:pPr>
        <w:spacing w:line="600" w:lineRule="exact"/>
        <w:jc w:val="both"/>
        <w:rPr>
          <w:rFonts w:hint="default" w:cs="宋体"/>
          <w:sz w:val="32"/>
          <w:szCs w:val="32"/>
        </w:rPr>
      </w:pPr>
    </w:p>
    <w:p>
      <w:pPr>
        <w:spacing w:line="600" w:lineRule="exact"/>
        <w:jc w:val="both"/>
        <w:rPr>
          <w:rFonts w:hint="default" w:cs="宋体"/>
          <w:sz w:val="32"/>
          <w:szCs w:val="32"/>
        </w:rPr>
      </w:pPr>
    </w:p>
    <w:p>
      <w:pPr>
        <w:spacing w:line="600" w:lineRule="exact"/>
        <w:jc w:val="both"/>
        <w:rPr>
          <w:rFonts w:hint="default" w:cs="宋体"/>
          <w:sz w:val="32"/>
          <w:szCs w:val="32"/>
        </w:rPr>
      </w:pPr>
    </w:p>
    <w:p>
      <w:pPr>
        <w:spacing w:line="600" w:lineRule="exact"/>
        <w:jc w:val="both"/>
        <w:rPr>
          <w:rFonts w:hint="default" w:cs="宋体"/>
          <w:sz w:val="32"/>
          <w:szCs w:val="32"/>
        </w:rPr>
      </w:pPr>
    </w:p>
    <w:p>
      <w:pPr>
        <w:spacing w:line="600" w:lineRule="exact"/>
        <w:jc w:val="both"/>
        <w:rPr>
          <w:rFonts w:hint="default" w:cs="宋体"/>
          <w:sz w:val="32"/>
          <w:szCs w:val="32"/>
        </w:rPr>
      </w:pPr>
    </w:p>
    <w:p>
      <w:pPr>
        <w:spacing w:line="600" w:lineRule="exact"/>
        <w:jc w:val="both"/>
        <w:rPr>
          <w:rFonts w:hint="default" w:ascii="方正小标宋简体" w:hAnsi="方正小标宋简体" w:eastAsia="方正小标宋简体" w:cs="方正小标宋简体"/>
          <w:sz w:val="32"/>
          <w:szCs w:val="32"/>
        </w:rPr>
      </w:pPr>
      <w:r>
        <w:rPr>
          <w:rFonts w:cs="宋体"/>
          <w:sz w:val="32"/>
          <w:szCs w:val="32"/>
        </w:rPr>
        <w:t>项目六：</w:t>
      </w:r>
    </w:p>
    <w:p>
      <w:pPr>
        <w:spacing w:line="600" w:lineRule="exact"/>
        <w:jc w:val="center"/>
        <w:rPr>
          <w:rFonts w:hint="default" w:ascii="黑体" w:eastAsia="黑体" w:cs="黑体"/>
          <w:sz w:val="44"/>
          <w:szCs w:val="44"/>
        </w:rPr>
      </w:pPr>
      <w:r>
        <w:rPr>
          <w:rFonts w:cs="宋体"/>
          <w:sz w:val="44"/>
          <w:szCs w:val="44"/>
        </w:rPr>
        <w:t>第三届春城飞花令项目支出绩效自评报告</w:t>
      </w:r>
    </w:p>
    <w:p>
      <w:pPr>
        <w:topLinePunct/>
        <w:spacing w:line="600" w:lineRule="exact"/>
        <w:ind w:firstLine="800" w:firstLineChars="250"/>
        <w:jc w:val="both"/>
        <w:rPr>
          <w:rFonts w:hint="default" w:ascii="黑体" w:eastAsia="黑体" w:cs="黑体"/>
          <w:sz w:val="32"/>
          <w:szCs w:val="32"/>
        </w:rPr>
      </w:pPr>
      <w:r>
        <w:rPr>
          <w:rFonts w:ascii="黑体" w:eastAsia="黑体" w:cs="黑体"/>
          <w:sz w:val="32"/>
          <w:szCs w:val="32"/>
        </w:rPr>
        <w:t xml:space="preserve"> </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一、项目基本情况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（一）项目概况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1.立项背景及目的</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“繁花锦灿 浪漫春城”——2022第三届“春城飞花令”活动，以花为媒，邀请市民、正能量网红、知乎优质作者，共拍、共话、共享春城的鲜花魅力，充分挖掘昆明作为“中国春城”“历史文化名城”深厚文化底蕴，展现城内丰富多彩的文化业态、文化功能，进一步彰显昆明城市特色，提升昆明城市品质，增强昆明文化吸引力，深度解锁、体验中国春城的城市气质、感染力，展现昆明新面貌、新形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昆明市首个全民拍花大型城市活动——“春城飞花令”，在前两届活动人气爆棚、成功举办的基础上，第三届活动将进一步丰富升级，除有奖花拍征集外，将推出全新系列短视频“令起春城舞花间”，热力推荐昆明赏花热门打卡地，以舞相祝、以舞相咏，传递美好生活的如花愿景；并创意性地将获奖作品衍生为花艺艺术装置，进行集中、可持续、合拍打卡的互动式展出，打造全新的城市花主题互动网红IP。</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2020年3月，中共昆明市委宣传部举办了首届春城飞花令。活动邀请市民拍花赏花的同时，将照片、短视频、绘画作品上传到“春城飞花令”小程序，生成“春城飞花令”主题海报在朋友圈分享，争相成为第x位飞花使者，形成社交裂变式传播，全民推荐春城魅力。前两届活动累计吸引25万市民投稿，征集到17000余件作品。</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活动吸引13万市民拍花传令，征集到投稿5000余件，经专家评审出24件等级奖作品和150件优秀奖作品，并在省政府新闻办召开“5.22国际生物多样性日系列主题发布会”春城飞花令活动作为活动之一，向社会发布。发布会上，省新闻办、省宣领导对春城飞花令——“令起春城舞花间”系列短视频高度肯定，并要求全省媒体转发，掀起关注热潮。“令起春城舞花间”系列短视频收获广泛好评，被人民网、中国日报、北京日报、澎湃新闻、云南省文旅厅、游云南、学习强国、新浪、网易等多平台转发。其中，蓝花楹、海菜花单期视频全网转发量100万+；绣球花海短视频被学习强国总网转发，播放量35.6万+。总体而言，活动在参与互动、宣传推广方面取得了广泛、良好的社会效益，受到省级宣传部门和市民的广泛好评，有效地提升了活动品牌影响力。</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3.资金来源及使用情况</w:t>
      </w:r>
    </w:p>
    <w:p>
      <w:pPr>
        <w:pStyle w:val="2"/>
        <w:spacing w:line="600" w:lineRule="exact"/>
        <w:ind w:firstLine="640"/>
        <w:rPr>
          <w:rFonts w:ascii="仿宋" w:hAnsi="仿宋" w:eastAsia="仿宋" w:cs="仿宋"/>
          <w:sz w:val="32"/>
          <w:szCs w:val="32"/>
        </w:rPr>
      </w:pPr>
      <w:r>
        <w:rPr>
          <w:rFonts w:hint="eastAsia" w:ascii="仿宋" w:hAnsi="仿宋" w:eastAsia="仿宋" w:cs="仿宋"/>
          <w:sz w:val="32"/>
          <w:szCs w:val="32"/>
        </w:rPr>
        <w:t>项目获得2022年度昆明市文艺精品创作专项扶持资金资助项目资金补助29.37万元，用于活动专属小程序“春城飞花令”的技术升级、运维保障，“令起春城舞花间”系列短视频拍摄制作、奖金发放、线下颁奖礼和活动、活动品牌影响力打造方面。</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4.组织及管理情况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（1）资金计划、到位及使用情况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本项目资金来源为2022年度昆明市文艺精品创作专项扶持资金资助项目资金补助，共计29.37万元。</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 xml:space="preserve">本项目资金于2022年10月到位29.37万元，为确保财政预算资金有效合理使用，提高资金使用效率，该项目资金实行专款专用。 </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截至自查时间节点，项目资金实际支出情况为已按照财务流程和相关监管要求，支出线上技术开发费用、奖金费用、令起春城舞花间演员拍摄、评审、宣传推广的费用。</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（2）项目财务管理情况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支出均有相关的授权审批，资金拨付严格审批程序，使用规范，会计核算结果真实、准确，未发现有截留、挤占或挪用项目资金的情况，用于线上技术开发费用、奖金费用、令起春城舞花间演员拍摄、评审、宣传推广的费用。</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（3）项目组织实施情况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为确保项目保质保量地完成，项目严格按照操作程序实施项目管理。一是自觉接受上级部门、社会监督，提高项目质量。二是加强技术指导，进行项目日常自检管理。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严格按照相关规定，成立活动专门小组，设组长、副组长，分别牵头管理活动执行、技术开发、短视频制作、活动推广等工作。资金拨付严格按照财政资金管理、使用流程，支付线上技术开发费用、奖金费用、令起春城舞花间演员拍摄、评审、宣传推广的费用。</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1.总目标</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深入贯彻习近平新时代中国特色社会主义思想、习近平总书记考察云南重要讲话精神，以“擦亮历史文化名城亮丽名片 实施昆明市五个一批文化项目”为指导，结合昆明正加快中国春城、历史文化名城、国际大健康名城、区域性国际中心城市建设的要求，开展好“繁花锦灿 浪漫春城”——2022第三届“春城飞花令”活动，助推“中国春城”“历史文化名城”城市品牌更加深入人心，掀起全民、全网聚焦昆明花事的热潮。</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2.年度目标</w:t>
      </w:r>
    </w:p>
    <w:p>
      <w:pPr>
        <w:pStyle w:val="72"/>
        <w:spacing w:line="600" w:lineRule="exact"/>
        <w:rPr>
          <w:rFonts w:ascii="仿宋" w:hAnsi="仿宋" w:eastAsia="仿宋" w:cs="仿宋"/>
          <w:sz w:val="32"/>
          <w:szCs w:val="32"/>
        </w:rPr>
      </w:pPr>
      <w:r>
        <w:rPr>
          <w:rFonts w:hint="eastAsia" w:ascii="仿宋" w:hAnsi="仿宋" w:eastAsia="仿宋" w:cs="仿宋"/>
          <w:sz w:val="32"/>
          <w:szCs w:val="32"/>
        </w:rPr>
        <w:t xml:space="preserve">    作为昆明市首个全民拍花大型城市活动，本次活动在前两届活动人气爆棚、成功举办的基础上，将进一步丰富升级，除有奖花拍征集外，将推出全新系列短视频“令起春城舞花间”，热力推荐昆明赏花热门打卡地，以舞相祝、以舞相咏，传递美好生活的如花愿景。</w:t>
      </w:r>
    </w:p>
    <w:p>
      <w:pPr>
        <w:pStyle w:val="72"/>
        <w:rPr>
          <w:rFonts w:ascii="仿宋_GB2312" w:hAnsi="楷体" w:eastAsia="仿宋_GB2312" w:cs="仿宋_GB2312"/>
          <w:sz w:val="32"/>
          <w:szCs w:val="32"/>
        </w:rPr>
      </w:pPr>
      <w:r>
        <w:rPr>
          <w:rFonts w:hint="eastAsia" w:ascii="仿宋_GB2312" w:hAnsi="楷体" w:eastAsia="仿宋_GB2312" w:cs="仿宋_GB2312"/>
          <w:sz w:val="32"/>
          <w:szCs w:val="32"/>
        </w:rPr>
        <w:t xml:space="preserve"> </w:t>
      </w:r>
    </w:p>
    <w:tbl>
      <w:tblPr>
        <w:tblStyle w:val="16"/>
        <w:tblW w:w="0" w:type="auto"/>
        <w:tblInd w:w="372" w:type="dxa"/>
        <w:tblLayout w:type="fixed"/>
        <w:tblCellMar>
          <w:top w:w="0" w:type="dxa"/>
          <w:left w:w="0" w:type="dxa"/>
          <w:bottom w:w="0" w:type="dxa"/>
          <w:right w:w="0" w:type="dxa"/>
        </w:tblCellMar>
      </w:tblPr>
      <w:tblGrid>
        <w:gridCol w:w="725"/>
        <w:gridCol w:w="794"/>
        <w:gridCol w:w="1945"/>
        <w:gridCol w:w="3616"/>
        <w:gridCol w:w="1917"/>
      </w:tblGrid>
      <w:tr>
        <w:tblPrEx>
          <w:tblCellMar>
            <w:top w:w="0" w:type="dxa"/>
            <w:left w:w="0" w:type="dxa"/>
            <w:bottom w:w="0" w:type="dxa"/>
            <w:right w:w="0" w:type="dxa"/>
          </w:tblCellMar>
        </w:tblPrEx>
        <w:trPr>
          <w:trHeight w:val="1256"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绩</w:t>
            </w:r>
            <w:r>
              <w:rPr>
                <w:rFonts w:ascii="仿宋_GB2312" w:hAnsi="楷体" w:eastAsia="仿宋_GB2312" w:cs="仿宋_GB2312"/>
                <w:sz w:val="32"/>
                <w:szCs w:val="32"/>
              </w:rPr>
              <w:br w:type="textWrapping"/>
            </w:r>
            <w:r>
              <w:rPr>
                <w:rFonts w:cs="宋体"/>
                <w:sz w:val="32"/>
                <w:szCs w:val="32"/>
              </w:rPr>
              <w:t>效</w:t>
            </w:r>
            <w:r>
              <w:rPr>
                <w:rFonts w:ascii="仿宋_GB2312" w:hAnsi="楷体" w:eastAsia="仿宋_GB2312" w:cs="仿宋_GB2312"/>
                <w:sz w:val="32"/>
                <w:szCs w:val="32"/>
              </w:rPr>
              <w:br w:type="textWrapping"/>
            </w:r>
            <w:r>
              <w:rPr>
                <w:rFonts w:cs="宋体"/>
                <w:sz w:val="32"/>
                <w:szCs w:val="32"/>
              </w:rPr>
              <w:t>指</w:t>
            </w:r>
            <w:r>
              <w:rPr>
                <w:rFonts w:ascii="仿宋_GB2312" w:hAnsi="楷体" w:eastAsia="仿宋_GB2312" w:cs="仿宋_GB2312"/>
                <w:sz w:val="32"/>
                <w:szCs w:val="32"/>
              </w:rPr>
              <w:br w:type="textWrapping"/>
            </w:r>
            <w:r>
              <w:rPr>
                <w:rFonts w:cs="宋体"/>
                <w:sz w:val="32"/>
                <w:szCs w:val="32"/>
              </w:rPr>
              <w:t>标</w:t>
            </w:r>
          </w:p>
        </w:tc>
        <w:tc>
          <w:tcPr>
            <w:tcW w:w="79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一级</w:t>
            </w:r>
            <w:r>
              <w:rPr>
                <w:rFonts w:ascii="仿宋_GB2312" w:hAnsi="楷体" w:eastAsia="仿宋_GB2312" w:cs="仿宋_GB2312"/>
                <w:sz w:val="32"/>
                <w:szCs w:val="32"/>
              </w:rPr>
              <w:br w:type="textWrapping"/>
            </w:r>
            <w:r>
              <w:rPr>
                <w:rFonts w:cs="宋体"/>
                <w:sz w:val="32"/>
                <w:szCs w:val="32"/>
              </w:rPr>
              <w:t>指标</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二级指标</w:t>
            </w: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三级指标</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指标值</w:t>
            </w:r>
          </w:p>
        </w:tc>
      </w:tr>
      <w:tr>
        <w:tblPrEx>
          <w:tblCellMar>
            <w:top w:w="0" w:type="dxa"/>
            <w:left w:w="0" w:type="dxa"/>
            <w:bottom w:w="0" w:type="dxa"/>
            <w:right w:w="0" w:type="dxa"/>
          </w:tblCellMar>
        </w:tblPrEx>
        <w:trPr>
          <w:trHeight w:val="85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产</w:t>
            </w:r>
            <w:r>
              <w:rPr>
                <w:rFonts w:ascii="仿宋_GB2312" w:hAnsi="楷体" w:eastAsia="仿宋_GB2312" w:cs="仿宋_GB2312"/>
                <w:sz w:val="32"/>
                <w:szCs w:val="32"/>
              </w:rPr>
              <w:br w:type="textWrapping"/>
            </w:r>
            <w:r>
              <w:rPr>
                <w:rFonts w:cs="宋体"/>
                <w:sz w:val="32"/>
                <w:szCs w:val="32"/>
              </w:rPr>
              <w:t>出</w:t>
            </w:r>
            <w:r>
              <w:rPr>
                <w:rFonts w:ascii="仿宋_GB2312" w:hAnsi="楷体" w:eastAsia="仿宋_GB2312" w:cs="仿宋_GB2312"/>
                <w:sz w:val="32"/>
                <w:szCs w:val="32"/>
              </w:rPr>
              <w:br w:type="textWrapping"/>
            </w:r>
            <w:r>
              <w:rPr>
                <w:rFonts w:cs="宋体"/>
                <w:sz w:val="32"/>
                <w:szCs w:val="32"/>
              </w:rPr>
              <w:t>指</w:t>
            </w:r>
            <w:r>
              <w:rPr>
                <w:rFonts w:ascii="仿宋_GB2312" w:hAnsi="楷体" w:eastAsia="仿宋_GB2312" w:cs="仿宋_GB2312"/>
                <w:sz w:val="32"/>
                <w:szCs w:val="32"/>
              </w:rPr>
              <w:br w:type="textWrapping"/>
            </w:r>
            <w:r>
              <w:rPr>
                <w:rFonts w:cs="宋体"/>
                <w:sz w:val="32"/>
                <w:szCs w:val="32"/>
              </w:rPr>
              <w:t>标</w:t>
            </w:r>
          </w:p>
        </w:tc>
        <w:tc>
          <w:tcPr>
            <w:tcW w:w="19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数量指标</w:t>
            </w: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活动参与人次</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10w+</w:t>
            </w:r>
          </w:p>
        </w:tc>
      </w:tr>
      <w:tr>
        <w:tblPrEx>
          <w:tblCellMar>
            <w:top w:w="0" w:type="dxa"/>
            <w:left w:w="0" w:type="dxa"/>
            <w:bottom w:w="0" w:type="dxa"/>
            <w:right w:w="0" w:type="dxa"/>
          </w:tblCellMar>
        </w:tblPrEx>
        <w:trPr>
          <w:trHeight w:val="85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投稿数量</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3000</w:t>
            </w:r>
            <w:r>
              <w:rPr>
                <w:rFonts w:cs="宋体"/>
                <w:sz w:val="32"/>
                <w:szCs w:val="32"/>
              </w:rPr>
              <w:t>件以上</w:t>
            </w:r>
          </w:p>
        </w:tc>
      </w:tr>
      <w:tr>
        <w:tblPrEx>
          <w:tblCellMar>
            <w:top w:w="0" w:type="dxa"/>
            <w:left w:w="0" w:type="dxa"/>
            <w:bottom w:w="0" w:type="dxa"/>
            <w:right w:w="0" w:type="dxa"/>
          </w:tblCellMar>
        </w:tblPrEx>
        <w:trPr>
          <w:trHeight w:val="85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奖金发放</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35400</w:t>
            </w:r>
            <w:r>
              <w:rPr>
                <w:rFonts w:cs="宋体"/>
                <w:sz w:val="32"/>
                <w:szCs w:val="32"/>
              </w:rPr>
              <w:t>元</w:t>
            </w:r>
          </w:p>
        </w:tc>
      </w:tr>
      <w:tr>
        <w:tblPrEx>
          <w:tblCellMar>
            <w:top w:w="0" w:type="dxa"/>
            <w:left w:w="0" w:type="dxa"/>
            <w:bottom w:w="0" w:type="dxa"/>
            <w:right w:w="0" w:type="dxa"/>
          </w:tblCellMar>
        </w:tblPrEx>
        <w:trPr>
          <w:trHeight w:val="1256"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奖项设置</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24</w:t>
            </w:r>
            <w:r>
              <w:rPr>
                <w:rFonts w:cs="宋体"/>
                <w:sz w:val="32"/>
                <w:szCs w:val="32"/>
              </w:rPr>
              <w:t>个等级奖、</w:t>
            </w:r>
            <w:r>
              <w:rPr>
                <w:rFonts w:ascii="仿宋_GB2312" w:eastAsia="仿宋_GB2312" w:cs="仿宋_GB2312"/>
                <w:sz w:val="32"/>
                <w:szCs w:val="32"/>
              </w:rPr>
              <w:t>150</w:t>
            </w:r>
            <w:r>
              <w:rPr>
                <w:rFonts w:cs="宋体"/>
                <w:sz w:val="32"/>
                <w:szCs w:val="32"/>
              </w:rPr>
              <w:t>个优秀奖</w:t>
            </w:r>
          </w:p>
        </w:tc>
      </w:tr>
      <w:tr>
        <w:tblPrEx>
          <w:tblCellMar>
            <w:top w:w="0" w:type="dxa"/>
            <w:left w:w="0" w:type="dxa"/>
            <w:bottom w:w="0" w:type="dxa"/>
            <w:right w:w="0" w:type="dxa"/>
          </w:tblCellMar>
        </w:tblPrEx>
        <w:trPr>
          <w:trHeight w:val="89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原创活动短视频宣发推广</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10</w:t>
            </w:r>
            <w:r>
              <w:rPr>
                <w:rFonts w:cs="宋体"/>
                <w:sz w:val="32"/>
                <w:szCs w:val="32"/>
              </w:rPr>
              <w:t>期</w:t>
            </w:r>
          </w:p>
        </w:tc>
      </w:tr>
      <w:tr>
        <w:tblPrEx>
          <w:tblCellMar>
            <w:top w:w="0" w:type="dxa"/>
            <w:left w:w="0" w:type="dxa"/>
            <w:bottom w:w="0" w:type="dxa"/>
            <w:right w:w="0" w:type="dxa"/>
          </w:tblCellMar>
        </w:tblPrEx>
        <w:trPr>
          <w:trHeight w:val="6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质量指标</w:t>
            </w: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活动短视频传播影响力</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100w+</w:t>
            </w:r>
          </w:p>
        </w:tc>
      </w:tr>
      <w:tr>
        <w:tblPrEx>
          <w:tblCellMar>
            <w:top w:w="0" w:type="dxa"/>
            <w:left w:w="0" w:type="dxa"/>
            <w:bottom w:w="0" w:type="dxa"/>
            <w:right w:w="0" w:type="dxa"/>
          </w:tblCellMar>
        </w:tblPrEx>
        <w:trPr>
          <w:trHeight w:val="774"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奖项评审完成率</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100%</w:t>
            </w:r>
          </w:p>
        </w:tc>
      </w:tr>
      <w:tr>
        <w:tblPrEx>
          <w:tblCellMar>
            <w:top w:w="0" w:type="dxa"/>
            <w:left w:w="0" w:type="dxa"/>
            <w:bottom w:w="0" w:type="dxa"/>
            <w:right w:w="0" w:type="dxa"/>
          </w:tblCellMar>
        </w:tblPrEx>
        <w:trPr>
          <w:trHeight w:val="774"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颁奖礼完成率</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100%</w:t>
            </w:r>
          </w:p>
        </w:tc>
      </w:tr>
      <w:tr>
        <w:tblPrEx>
          <w:tblCellMar>
            <w:top w:w="0" w:type="dxa"/>
            <w:left w:w="0" w:type="dxa"/>
            <w:bottom w:w="0" w:type="dxa"/>
            <w:right w:w="0" w:type="dxa"/>
          </w:tblCellMar>
        </w:tblPrEx>
        <w:trPr>
          <w:trHeight w:val="1256"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小程序平台征集、宣发使用完成率</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100%</w:t>
            </w:r>
          </w:p>
        </w:tc>
      </w:tr>
      <w:tr>
        <w:tblPrEx>
          <w:tblCellMar>
            <w:top w:w="0" w:type="dxa"/>
            <w:left w:w="0" w:type="dxa"/>
            <w:bottom w:w="0" w:type="dxa"/>
            <w:right w:w="0" w:type="dxa"/>
          </w:tblCellMar>
        </w:tblPrEx>
        <w:trPr>
          <w:trHeight w:val="85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成本指标</w:t>
            </w: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项目预算控制数</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29.5</w:t>
            </w:r>
            <w:r>
              <w:rPr>
                <w:rFonts w:cs="宋体"/>
                <w:sz w:val="32"/>
                <w:szCs w:val="32"/>
              </w:rPr>
              <w:t>万元</w:t>
            </w:r>
          </w:p>
        </w:tc>
      </w:tr>
      <w:tr>
        <w:tblPrEx>
          <w:tblCellMar>
            <w:top w:w="0" w:type="dxa"/>
            <w:left w:w="0" w:type="dxa"/>
            <w:bottom w:w="0" w:type="dxa"/>
            <w:right w:w="0" w:type="dxa"/>
          </w:tblCellMar>
        </w:tblPrEx>
        <w:trPr>
          <w:trHeight w:val="106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效</w:t>
            </w:r>
            <w:r>
              <w:rPr>
                <w:rFonts w:ascii="仿宋_GB2312" w:hAnsi="楷体" w:eastAsia="仿宋_GB2312" w:cs="仿宋_GB2312"/>
                <w:sz w:val="32"/>
                <w:szCs w:val="32"/>
              </w:rPr>
              <w:br w:type="textWrapping"/>
            </w:r>
            <w:r>
              <w:rPr>
                <w:rFonts w:cs="宋体"/>
                <w:sz w:val="32"/>
                <w:szCs w:val="32"/>
              </w:rPr>
              <w:t>益</w:t>
            </w:r>
            <w:r>
              <w:rPr>
                <w:rFonts w:ascii="仿宋_GB2312" w:hAnsi="楷体" w:eastAsia="仿宋_GB2312" w:cs="仿宋_GB2312"/>
                <w:sz w:val="32"/>
                <w:szCs w:val="32"/>
              </w:rPr>
              <w:br w:type="textWrapping"/>
            </w:r>
            <w:r>
              <w:rPr>
                <w:rFonts w:cs="宋体"/>
                <w:sz w:val="32"/>
                <w:szCs w:val="32"/>
              </w:rPr>
              <w:t>指</w:t>
            </w:r>
            <w:r>
              <w:rPr>
                <w:rFonts w:ascii="仿宋_GB2312" w:hAnsi="楷体" w:eastAsia="仿宋_GB2312" w:cs="仿宋_GB2312"/>
                <w:sz w:val="32"/>
                <w:szCs w:val="32"/>
              </w:rPr>
              <w:br w:type="textWrapping"/>
            </w:r>
            <w:r>
              <w:rPr>
                <w:rFonts w:cs="宋体"/>
                <w:sz w:val="32"/>
                <w:szCs w:val="32"/>
              </w:rPr>
              <w:t>标</w:t>
            </w:r>
          </w:p>
        </w:tc>
        <w:tc>
          <w:tcPr>
            <w:tcW w:w="19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社会效益指标</w:t>
            </w: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活动参与人次</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10w+</w:t>
            </w:r>
          </w:p>
        </w:tc>
      </w:tr>
      <w:tr>
        <w:tblPrEx>
          <w:tblCellMar>
            <w:top w:w="0" w:type="dxa"/>
            <w:left w:w="0" w:type="dxa"/>
            <w:bottom w:w="0" w:type="dxa"/>
            <w:right w:w="0" w:type="dxa"/>
          </w:tblCellMar>
        </w:tblPrEx>
        <w:trPr>
          <w:trHeight w:val="106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投稿数量</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3000</w:t>
            </w:r>
            <w:r>
              <w:rPr>
                <w:rFonts w:cs="宋体"/>
                <w:sz w:val="32"/>
                <w:szCs w:val="32"/>
              </w:rPr>
              <w:t>件以上</w:t>
            </w:r>
          </w:p>
        </w:tc>
      </w:tr>
      <w:tr>
        <w:tblPrEx>
          <w:tblCellMar>
            <w:top w:w="0" w:type="dxa"/>
            <w:left w:w="0" w:type="dxa"/>
            <w:bottom w:w="0" w:type="dxa"/>
            <w:right w:w="0" w:type="dxa"/>
          </w:tblCellMar>
        </w:tblPrEx>
        <w:trPr>
          <w:trHeight w:val="1256"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活动短视频传播转发影响力</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20</w:t>
            </w:r>
            <w:r>
              <w:rPr>
                <w:rFonts w:cs="宋体"/>
                <w:sz w:val="32"/>
                <w:szCs w:val="32"/>
              </w:rPr>
              <w:t>家以上媒体转发</w:t>
            </w:r>
          </w:p>
        </w:tc>
      </w:tr>
      <w:tr>
        <w:tblPrEx>
          <w:tblCellMar>
            <w:top w:w="0" w:type="dxa"/>
            <w:left w:w="0" w:type="dxa"/>
            <w:bottom w:w="0" w:type="dxa"/>
            <w:right w:w="0" w:type="dxa"/>
          </w:tblCellMar>
        </w:tblPrEx>
        <w:trPr>
          <w:trHeight w:val="106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活动形成品牌影响力</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逐步提升</w:t>
            </w:r>
          </w:p>
        </w:tc>
      </w:tr>
      <w:tr>
        <w:tblPrEx>
          <w:tblCellMar>
            <w:top w:w="0" w:type="dxa"/>
            <w:left w:w="0" w:type="dxa"/>
            <w:bottom w:w="0" w:type="dxa"/>
            <w:right w:w="0" w:type="dxa"/>
          </w:tblCellMar>
        </w:tblPrEx>
        <w:trPr>
          <w:trHeight w:val="1881"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79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满意度指标</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服务对象</w:t>
            </w:r>
            <w:r>
              <w:rPr>
                <w:rFonts w:ascii="仿宋_GB2312" w:hAnsi="楷体" w:eastAsia="仿宋_GB2312" w:cs="仿宋_GB2312"/>
                <w:sz w:val="32"/>
                <w:szCs w:val="32"/>
              </w:rPr>
              <w:br w:type="textWrapping"/>
            </w:r>
            <w:r>
              <w:rPr>
                <w:rFonts w:cs="宋体"/>
                <w:sz w:val="32"/>
                <w:szCs w:val="32"/>
              </w:rPr>
              <w:t>满意度指标</w:t>
            </w:r>
          </w:p>
        </w:tc>
        <w:tc>
          <w:tcPr>
            <w:tcW w:w="36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cs="宋体"/>
                <w:sz w:val="32"/>
                <w:szCs w:val="32"/>
              </w:rPr>
              <w:t>市民满意度</w:t>
            </w:r>
          </w:p>
        </w:tc>
        <w:tc>
          <w:tcPr>
            <w:tcW w:w="1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楷体" w:eastAsia="仿宋_GB2312" w:cs="仿宋_GB2312"/>
                <w:sz w:val="32"/>
                <w:szCs w:val="32"/>
              </w:rPr>
            </w:pPr>
            <w:r>
              <w:rPr>
                <w:rFonts w:ascii="仿宋_GB2312" w:eastAsia="仿宋_GB2312" w:cs="仿宋_GB2312"/>
                <w:sz w:val="32"/>
                <w:szCs w:val="32"/>
              </w:rPr>
              <w:t>≥95%</w:t>
            </w:r>
          </w:p>
        </w:tc>
      </w:tr>
    </w:tbl>
    <w:p>
      <w:pPr>
        <w:pStyle w:val="72"/>
        <w:ind w:firstLine="640" w:firstLineChars="200"/>
        <w:rPr>
          <w:rFonts w:ascii="黑体" w:hAnsi="宋体" w:eastAsia="黑体" w:cs="黑体"/>
          <w:sz w:val="32"/>
          <w:szCs w:val="32"/>
        </w:rPr>
      </w:pPr>
      <w:r>
        <w:rPr>
          <w:rFonts w:hint="eastAsia" w:ascii="黑体" w:hAnsi="宋体" w:eastAsia="黑体" w:cs="黑体"/>
          <w:sz w:val="32"/>
          <w:szCs w:val="32"/>
        </w:rPr>
        <w:t>二、绩效评价工作情况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（一）绩效评价目的</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（二）绩效评价工作方案制定过程</w:t>
      </w:r>
    </w:p>
    <w:p>
      <w:pPr>
        <w:topLinePunct/>
        <w:spacing w:line="600" w:lineRule="exact"/>
        <w:ind w:firstLine="640" w:firstLineChars="200"/>
        <w:jc w:val="both"/>
        <w:rPr>
          <w:rFonts w:hint="default" w:ascii="仿宋" w:hAnsi="仿宋" w:eastAsia="仿宋" w:cs="仿宋"/>
          <w:b/>
          <w:sz w:val="32"/>
          <w:szCs w:val="32"/>
        </w:rPr>
      </w:pPr>
      <w:r>
        <w:rPr>
          <w:rFonts w:ascii="仿宋" w:hAnsi="仿宋" w:eastAsia="仿宋" w:cs="仿宋"/>
          <w:sz w:val="32"/>
          <w:szCs w:val="32"/>
        </w:rPr>
        <w:t>1.前期调研</w:t>
      </w:r>
    </w:p>
    <w:p>
      <w:pPr>
        <w:pStyle w:val="2"/>
        <w:spacing w:line="600" w:lineRule="exact"/>
        <w:ind w:firstLine="640"/>
        <w:rPr>
          <w:rFonts w:ascii="仿宋" w:hAnsi="仿宋" w:eastAsia="仿宋" w:cs="仿宋"/>
          <w:sz w:val="32"/>
          <w:szCs w:val="32"/>
        </w:rPr>
      </w:pPr>
      <w:r>
        <w:rPr>
          <w:rFonts w:hint="eastAsia" w:ascii="仿宋" w:hAnsi="仿宋" w:eastAsia="仿宋" w:cs="仿宋"/>
          <w:sz w:val="32"/>
          <w:szCs w:val="32"/>
        </w:rPr>
        <w:t>对比其他的征集活动，进行了原创创新，开发线上技术平台。</w:t>
      </w:r>
    </w:p>
    <w:p>
      <w:pPr>
        <w:pStyle w:val="2"/>
        <w:rPr>
          <w:rFonts w:ascii="仿宋_GB2312" w:hAnsi="楷体" w:eastAsia="仿宋_GB2312" w:cs="仿宋_GB2312"/>
          <w:sz w:val="32"/>
          <w:szCs w:val="32"/>
        </w:rPr>
      </w:pPr>
      <w:r>
        <w:drawing>
          <wp:inline distT="0" distB="0" distL="114300" distR="114300">
            <wp:extent cx="952500" cy="9525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a:stretch>
                      <a:fillRect/>
                    </a:stretch>
                  </pic:blipFill>
                  <pic:spPr>
                    <a:xfrm>
                      <a:off x="0" y="0"/>
                      <a:ext cx="952500" cy="952500"/>
                    </a:xfrm>
                    <a:prstGeom prst="rect">
                      <a:avLst/>
                    </a:prstGeom>
                    <a:noFill/>
                    <a:ln w="9525">
                      <a:noFill/>
                    </a:ln>
                  </pic:spPr>
                </pic:pic>
              </a:graphicData>
            </a:graphic>
          </wp:inline>
        </w:drawing>
      </w:r>
      <w:r>
        <w:rPr>
          <w:rFonts w:hint="eastAsia" w:ascii="仿宋_GB2312" w:hAnsi="楷体" w:eastAsia="仿宋_GB2312" w:cs="仿宋_GB2312"/>
          <w:sz w:val="32"/>
          <w:szCs w:val="32"/>
        </w:rPr>
        <w:t xml:space="preserve"> </w:t>
      </w:r>
    </w:p>
    <w:p>
      <w:pPr>
        <w:topLinePunct/>
        <w:spacing w:line="44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2.绩效评价指标体系及工作方案的设计</w:t>
      </w:r>
    </w:p>
    <w:p>
      <w:pPr>
        <w:pStyle w:val="2"/>
        <w:ind w:firstLine="640"/>
        <w:rPr>
          <w:rFonts w:ascii="仿宋" w:hAnsi="仿宋" w:eastAsia="仿宋" w:cs="仿宋"/>
          <w:sz w:val="32"/>
          <w:szCs w:val="32"/>
        </w:rPr>
      </w:pPr>
      <w:r>
        <w:rPr>
          <w:rFonts w:hint="eastAsia" w:ascii="仿宋" w:hAnsi="仿宋" w:eastAsia="仿宋" w:cs="仿宋"/>
          <w:sz w:val="32"/>
          <w:szCs w:val="32"/>
        </w:rPr>
        <w:t>从参与人次、活动传播、宣传推广、互动影响方面设计了评价指标体系和工作方案。</w:t>
      </w:r>
    </w:p>
    <w:p>
      <w:pPr>
        <w:pStyle w:val="2"/>
        <w:ind w:left="600" w:leftChars="250" w:firstLine="0" w:firstLineChars="0"/>
        <w:rPr>
          <w:rFonts w:hint="default" w:ascii="楷体" w:hAnsi="楷体" w:eastAsia="楷体" w:cs="楷体"/>
          <w:sz w:val="32"/>
          <w:szCs w:val="32"/>
        </w:rPr>
      </w:pPr>
      <w:r>
        <w:rPr>
          <w:rFonts w:ascii="楷体" w:hAnsi="楷体" w:eastAsia="楷体" w:cs="楷体"/>
          <w:sz w:val="32"/>
          <w:szCs w:val="32"/>
        </w:rPr>
        <w:t>（三）绩效评价原则、评价方法</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活动以科学规范、公开公正、绩效相关原则，从产出指标、效益指标、满意度指标三个一级指标维度制定绩效评价，在此基础上，细化制定数量、质量、成本、社会效益、服务对象满意度5个二级指标，最后结合项目实施节点制定了参与人次、播放数量等三级指标，并实现了数据化评价。</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2.绩效评价方法</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评价方法中，尽可能使用数据采集进行科学评价，积极引入第三方评价，如参与人次、播放数量、媒体转发等，以客观、真实地评价活动效果，形成有效的指导意见。</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（四）绩效评价实施过程</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1.专家评审</w:t>
      </w:r>
    </w:p>
    <w:p>
      <w:pPr>
        <w:pStyle w:val="69"/>
        <w:spacing w:line="600" w:lineRule="exact"/>
        <w:ind w:firstLine="640"/>
        <w:rPr>
          <w:rFonts w:ascii="仿宋" w:hAnsi="仿宋" w:eastAsia="仿宋" w:cs="仿宋"/>
          <w:sz w:val="32"/>
          <w:szCs w:val="32"/>
        </w:rPr>
      </w:pPr>
      <w:r>
        <w:rPr>
          <w:rFonts w:hint="eastAsia" w:ascii="仿宋" w:hAnsi="仿宋" w:eastAsia="仿宋" w:cs="仿宋"/>
          <w:sz w:val="32"/>
          <w:szCs w:val="32"/>
        </w:rPr>
        <w:t>活动吸引13万市民拍花传令，征集到投稿5000余件，经专家评审出24件等级奖作品和150件优秀奖作品，已面向社会公示。连续参加三届春城飞花令的评审专家现场评价，本届活动投稿短视频作品明显增多，投稿质量较以往明显提升，紧扣主题、立意新颖，尤其在短视频方面，无人机航拍、慢放延时等难度较高的手法都有很好的应用和表达，看得出来作者们很花心思，以及对春城飞花美景的深厚感情和对春城飞花令活动的认可。</w:t>
      </w:r>
    </w:p>
    <w:p>
      <w:pPr>
        <w:pStyle w:val="7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2.数据佐证</w:t>
      </w:r>
    </w:p>
    <w:p>
      <w:pPr>
        <w:pStyle w:val="7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活动在省政府新闻办召开“5.22国际生物多样性日系列主题发布会”春城飞花令活动作为活动之一，向社会发布。发布会上，省新闻办、省宣领导对春城飞花令——“令起春城舞花间”系列短视频高度肯定，并要求全省媒体转发，掀起关注热潮。“令起春城舞花间”系列短视频收获广泛好评，被人民网、中国日报、北京日报、澎湃新闻、云南省文旅厅、游云南、学习强国、新浪、网易等多平台转发。其中，蓝花楹、海菜花单期视频全网转发量100万+；绣球花海短视频被学习强国总网转发，播放量35.6万+。</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（五）本次绩效评价的局限性</w:t>
      </w:r>
    </w:p>
    <w:p>
      <w:pPr>
        <w:pStyle w:val="7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对市民满意度的收集存在局限性。</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三、评价结论和绩效分析</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项目绩效目标根据部门绩效目标制定，真实有效地反映了部门的职能，并且绩效可考核。项目资金使用有效合理，有严格的财务及内控制度把关，没有超出预算范围使用的情况发生。项目绩效指标及时完成并且完成情况良好。</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活动吸引13万市民拍花传令，征集到投稿5000余件，经专家评审出24件等级奖作品和150件优秀奖作品，并在省政府新闻办召开“5.22国际生物多样性日系列主题发布会”春城飞花令活动作为活动之一，向社会发布。发布会上，省新闻办、省宣领导对春城飞花令——“令起春城舞花间”系列短视频高度肯定，并要求全省媒体转发，掀起关注热潮。“令起春城舞花间”系列短视频收获广泛好评，被人民网、中国日报、北京日报、澎湃新闻、云南省文旅厅、游云南、学习强国、新浪、网易等多平台转发。其中，蓝花楹、海菜花单期视频全网转发量100万+；绣球花海短视频被学习强国总网转发，播放量35.6万+。</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（二）具体绩效分析</w:t>
      </w:r>
    </w:p>
    <w:p>
      <w:pPr>
        <w:pStyle w:val="72"/>
        <w:rPr>
          <w:rFonts w:ascii="仿宋_GB2312" w:hAnsi="仿宋" w:eastAsia="仿宋_GB2312" w:cs="仿宋_GB2312"/>
          <w:sz w:val="32"/>
          <w:szCs w:val="32"/>
        </w:rPr>
      </w:pPr>
      <w:r>
        <w:rPr>
          <w:sz w:val="32"/>
          <w:szCs w:val="32"/>
        </w:rPr>
        <w:t xml:space="preserve"> </w:t>
      </w:r>
      <w:r>
        <w:rPr>
          <w:rFonts w:hint="eastAsia" w:ascii="仿宋_GB2312" w:hAnsi="仿宋" w:eastAsia="仿宋_GB2312" w:cs="仿宋_GB2312"/>
          <w:sz w:val="32"/>
          <w:szCs w:val="32"/>
        </w:rPr>
        <w:t xml:space="preserve">    </w:t>
      </w:r>
    </w:p>
    <w:tbl>
      <w:tblPr>
        <w:tblStyle w:val="16"/>
        <w:tblW w:w="0" w:type="auto"/>
        <w:tblInd w:w="372" w:type="dxa"/>
        <w:tblLayout w:type="fixed"/>
        <w:tblCellMar>
          <w:top w:w="0" w:type="dxa"/>
          <w:left w:w="0" w:type="dxa"/>
          <w:bottom w:w="0" w:type="dxa"/>
          <w:right w:w="0" w:type="dxa"/>
        </w:tblCellMar>
      </w:tblPr>
      <w:tblGrid>
        <w:gridCol w:w="561"/>
        <w:gridCol w:w="615"/>
        <w:gridCol w:w="1505"/>
        <w:gridCol w:w="2796"/>
        <w:gridCol w:w="1483"/>
        <w:gridCol w:w="1469"/>
      </w:tblGrid>
      <w:tr>
        <w:tblPrEx>
          <w:tblCellMar>
            <w:top w:w="0" w:type="dxa"/>
            <w:left w:w="0" w:type="dxa"/>
            <w:bottom w:w="0" w:type="dxa"/>
            <w:right w:w="0" w:type="dxa"/>
          </w:tblCellMar>
        </w:tblPrEx>
        <w:trPr>
          <w:trHeight w:val="495" w:hRule="atLeast"/>
        </w:trPr>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绩</w:t>
            </w:r>
            <w:r>
              <w:rPr>
                <w:rFonts w:ascii="仿宋_GB2312" w:hAnsi="仿宋" w:eastAsia="仿宋_GB2312" w:cs="仿宋_GB2312"/>
              </w:rPr>
              <w:br w:type="textWrapping"/>
            </w:r>
            <w:r>
              <w:rPr>
                <w:rFonts w:cs="宋体"/>
              </w:rPr>
              <w:t>效</w:t>
            </w:r>
            <w:r>
              <w:rPr>
                <w:rFonts w:ascii="仿宋_GB2312" w:hAnsi="仿宋" w:eastAsia="仿宋_GB2312" w:cs="仿宋_GB2312"/>
              </w:rPr>
              <w:br w:type="textWrapping"/>
            </w:r>
            <w:r>
              <w:rPr>
                <w:rFonts w:cs="宋体"/>
              </w:rPr>
              <w:t>指</w:t>
            </w:r>
            <w:r>
              <w:rPr>
                <w:rFonts w:ascii="仿宋_GB2312" w:hAnsi="仿宋" w:eastAsia="仿宋_GB2312" w:cs="仿宋_GB2312"/>
              </w:rPr>
              <w:br w:type="textWrapping"/>
            </w:r>
            <w:r>
              <w:rPr>
                <w:rFonts w:cs="宋体"/>
              </w:rPr>
              <w:t>标</w:t>
            </w:r>
          </w:p>
        </w:tc>
        <w:tc>
          <w:tcPr>
            <w:tcW w:w="6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一级</w:t>
            </w:r>
            <w:r>
              <w:rPr>
                <w:rFonts w:ascii="仿宋_GB2312" w:hAnsi="仿宋" w:eastAsia="仿宋_GB2312" w:cs="仿宋_GB2312"/>
              </w:rPr>
              <w:br w:type="textWrapping"/>
            </w:r>
            <w:r>
              <w:rPr>
                <w:rFonts w:cs="宋体"/>
              </w:rPr>
              <w:t>指标</w:t>
            </w:r>
          </w:p>
        </w:tc>
        <w:tc>
          <w:tcPr>
            <w:tcW w:w="15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二级指标</w:t>
            </w: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三级指标</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指标值</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评价</w:t>
            </w:r>
          </w:p>
        </w:tc>
      </w:tr>
      <w:tr>
        <w:tblPrEx>
          <w:tblCellMar>
            <w:top w:w="0" w:type="dxa"/>
            <w:left w:w="0" w:type="dxa"/>
            <w:bottom w:w="0" w:type="dxa"/>
            <w:right w:w="0" w:type="dxa"/>
          </w:tblCellMar>
        </w:tblPrEx>
        <w:trPr>
          <w:trHeight w:val="84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产</w:t>
            </w:r>
            <w:r>
              <w:rPr>
                <w:rFonts w:ascii="仿宋_GB2312" w:hAnsi="仿宋" w:eastAsia="仿宋_GB2312" w:cs="仿宋_GB2312"/>
              </w:rPr>
              <w:br w:type="textWrapping"/>
            </w:r>
            <w:r>
              <w:rPr>
                <w:rFonts w:cs="宋体"/>
              </w:rPr>
              <w:t>出</w:t>
            </w:r>
            <w:r>
              <w:rPr>
                <w:rFonts w:ascii="仿宋_GB2312" w:hAnsi="仿宋" w:eastAsia="仿宋_GB2312" w:cs="仿宋_GB2312"/>
              </w:rPr>
              <w:br w:type="textWrapping"/>
            </w:r>
            <w:r>
              <w:rPr>
                <w:rFonts w:cs="宋体"/>
              </w:rPr>
              <w:t>指</w:t>
            </w:r>
            <w:r>
              <w:rPr>
                <w:rFonts w:ascii="仿宋_GB2312" w:hAnsi="仿宋" w:eastAsia="仿宋_GB2312" w:cs="仿宋_GB2312"/>
              </w:rPr>
              <w:br w:type="textWrapping"/>
            </w:r>
            <w:r>
              <w:rPr>
                <w:rFonts w:cs="宋体"/>
              </w:rPr>
              <w:t>标</w:t>
            </w:r>
          </w:p>
        </w:tc>
        <w:tc>
          <w:tcPr>
            <w:tcW w:w="15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数量指标</w:t>
            </w: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活动参与人次</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w:t>
            </w:r>
            <w:r>
              <w:rPr>
                <w:rFonts w:cs="宋体"/>
              </w:rPr>
              <w:t>万</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13</w:t>
            </w:r>
            <w:r>
              <w:rPr>
                <w:rFonts w:cs="宋体"/>
              </w:rPr>
              <w:t>万</w:t>
            </w:r>
          </w:p>
        </w:tc>
      </w:tr>
      <w:tr>
        <w:tblPrEx>
          <w:tblCellMar>
            <w:top w:w="0" w:type="dxa"/>
            <w:left w:w="0" w:type="dxa"/>
            <w:bottom w:w="0" w:type="dxa"/>
            <w:right w:w="0" w:type="dxa"/>
          </w:tblCellMar>
        </w:tblPrEx>
        <w:trPr>
          <w:trHeight w:val="84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投稿数量</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3000</w:t>
            </w:r>
            <w:r>
              <w:rPr>
                <w:rFonts w:cs="宋体"/>
              </w:rPr>
              <w:t>件以上</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5000</w:t>
            </w:r>
            <w:r>
              <w:rPr>
                <w:rFonts w:cs="宋体"/>
              </w:rPr>
              <w:t>件</w:t>
            </w:r>
            <w:r>
              <w:rPr>
                <w:rFonts w:ascii="仿宋_GB2312" w:eastAsia="仿宋_GB2312" w:cs="仿宋_GB2312"/>
              </w:rPr>
              <w:t>+</w:t>
            </w:r>
          </w:p>
        </w:tc>
      </w:tr>
      <w:tr>
        <w:tblPrEx>
          <w:tblCellMar>
            <w:top w:w="0" w:type="dxa"/>
            <w:left w:w="0" w:type="dxa"/>
            <w:bottom w:w="0" w:type="dxa"/>
            <w:right w:w="0" w:type="dxa"/>
          </w:tblCellMar>
        </w:tblPrEx>
        <w:trPr>
          <w:trHeight w:val="84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奖金发放</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35400</w:t>
            </w:r>
            <w:r>
              <w:rPr>
                <w:rFonts w:cs="宋体"/>
              </w:rPr>
              <w:t>元</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实发</w:t>
            </w:r>
            <w:r>
              <w:rPr>
                <w:rFonts w:ascii="仿宋_GB2312" w:eastAsia="仿宋_GB2312" w:cs="仿宋_GB2312"/>
              </w:rPr>
              <w:t>34120</w:t>
            </w:r>
            <w:r>
              <w:rPr>
                <w:rFonts w:cs="宋体"/>
              </w:rPr>
              <w:t>元（领奖人银行卡问题未发放，已退回财政）</w:t>
            </w:r>
          </w:p>
        </w:tc>
      </w:tr>
      <w:tr>
        <w:tblPrEx>
          <w:tblCellMar>
            <w:top w:w="0" w:type="dxa"/>
            <w:left w:w="0" w:type="dxa"/>
            <w:bottom w:w="0" w:type="dxa"/>
            <w:right w:w="0" w:type="dxa"/>
          </w:tblCellMar>
        </w:tblPrEx>
        <w:trPr>
          <w:trHeight w:val="84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奖项设置</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24</w:t>
            </w:r>
            <w:r>
              <w:rPr>
                <w:rFonts w:cs="宋体"/>
              </w:rPr>
              <w:t>个等级奖、</w:t>
            </w:r>
            <w:r>
              <w:rPr>
                <w:rFonts w:ascii="仿宋_GB2312" w:eastAsia="仿宋_GB2312" w:cs="仿宋_GB2312"/>
              </w:rPr>
              <w:t>150</w:t>
            </w:r>
            <w:r>
              <w:rPr>
                <w:rFonts w:cs="宋体"/>
              </w:rPr>
              <w:t>个优秀奖</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评审出</w:t>
            </w:r>
            <w:r>
              <w:rPr>
                <w:rFonts w:ascii="仿宋_GB2312" w:eastAsia="仿宋_GB2312" w:cs="仿宋_GB2312"/>
              </w:rPr>
              <w:t>24</w:t>
            </w:r>
            <w:r>
              <w:rPr>
                <w:rFonts w:cs="宋体"/>
              </w:rPr>
              <w:t>个等级奖、</w:t>
            </w:r>
            <w:r>
              <w:rPr>
                <w:rFonts w:ascii="仿宋_GB2312" w:eastAsia="仿宋_GB2312" w:cs="仿宋_GB2312"/>
              </w:rPr>
              <w:t>150</w:t>
            </w:r>
            <w:r>
              <w:rPr>
                <w:rFonts w:cs="宋体"/>
              </w:rPr>
              <w:t>个优秀奖</w:t>
            </w:r>
          </w:p>
        </w:tc>
      </w:tr>
      <w:tr>
        <w:tblPrEx>
          <w:tblCellMar>
            <w:top w:w="0" w:type="dxa"/>
            <w:left w:w="0" w:type="dxa"/>
            <w:bottom w:w="0" w:type="dxa"/>
            <w:right w:w="0" w:type="dxa"/>
          </w:tblCellMar>
        </w:tblPrEx>
        <w:trPr>
          <w:trHeight w:val="88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原创活动短视频宣发推广</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w:t>
            </w:r>
            <w:r>
              <w:rPr>
                <w:rFonts w:cs="宋体"/>
              </w:rPr>
              <w:t>期</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w:t>
            </w:r>
            <w:r>
              <w:rPr>
                <w:rFonts w:cs="宋体"/>
              </w:rPr>
              <w:t>期</w:t>
            </w:r>
          </w:p>
        </w:tc>
      </w:tr>
      <w:tr>
        <w:tblPrEx>
          <w:tblCellMar>
            <w:top w:w="0" w:type="dxa"/>
            <w:left w:w="0" w:type="dxa"/>
            <w:bottom w:w="0" w:type="dxa"/>
            <w:right w:w="0" w:type="dxa"/>
          </w:tblCellMar>
        </w:tblPrEx>
        <w:trPr>
          <w:trHeight w:val="619"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质量指标</w:t>
            </w: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活动短视频传播影响力</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≥100</w:t>
            </w:r>
            <w:r>
              <w:rPr>
                <w:rFonts w:cs="宋体"/>
              </w:rPr>
              <w:t>万传播量</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≥100</w:t>
            </w:r>
            <w:r>
              <w:rPr>
                <w:rFonts w:cs="宋体"/>
              </w:rPr>
              <w:t>万传播量</w:t>
            </w:r>
          </w:p>
        </w:tc>
      </w:tr>
      <w:tr>
        <w:tblPrEx>
          <w:tblCellMar>
            <w:top w:w="0" w:type="dxa"/>
            <w:left w:w="0" w:type="dxa"/>
            <w:bottom w:w="0" w:type="dxa"/>
            <w:right w:w="0" w:type="dxa"/>
          </w:tblCellMar>
        </w:tblPrEx>
        <w:trPr>
          <w:trHeight w:val="76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奖项评审完成率</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100%</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100%</w:t>
            </w:r>
          </w:p>
        </w:tc>
      </w:tr>
      <w:tr>
        <w:tblPrEx>
          <w:tblCellMar>
            <w:top w:w="0" w:type="dxa"/>
            <w:left w:w="0" w:type="dxa"/>
            <w:bottom w:w="0" w:type="dxa"/>
            <w:right w:w="0" w:type="dxa"/>
          </w:tblCellMar>
        </w:tblPrEx>
        <w:trPr>
          <w:trHeight w:val="76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颁奖礼完成率</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100%</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100%</w:t>
            </w:r>
          </w:p>
        </w:tc>
      </w:tr>
      <w:tr>
        <w:tblPrEx>
          <w:tblCellMar>
            <w:top w:w="0" w:type="dxa"/>
            <w:left w:w="0" w:type="dxa"/>
            <w:bottom w:w="0" w:type="dxa"/>
            <w:right w:w="0" w:type="dxa"/>
          </w:tblCellMar>
        </w:tblPrEx>
        <w:trPr>
          <w:trHeight w:val="76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小程序平台征集、宣发使用完成率</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100%</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100%</w:t>
            </w:r>
          </w:p>
        </w:tc>
      </w:tr>
      <w:tr>
        <w:tblPrEx>
          <w:tblCellMar>
            <w:top w:w="0" w:type="dxa"/>
            <w:left w:w="0" w:type="dxa"/>
            <w:bottom w:w="0" w:type="dxa"/>
            <w:right w:w="0" w:type="dxa"/>
          </w:tblCellMar>
        </w:tblPrEx>
        <w:trPr>
          <w:trHeight w:val="84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成本指标</w:t>
            </w: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项目预算控制数</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29.5</w:t>
            </w:r>
            <w:r>
              <w:rPr>
                <w:rFonts w:cs="宋体"/>
              </w:rPr>
              <w:t>万元</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29.5</w:t>
            </w:r>
            <w:r>
              <w:rPr>
                <w:rFonts w:cs="宋体"/>
              </w:rPr>
              <w:t>万元</w:t>
            </w:r>
          </w:p>
        </w:tc>
      </w:tr>
      <w:tr>
        <w:tblPrEx>
          <w:tblCellMar>
            <w:top w:w="0" w:type="dxa"/>
            <w:left w:w="0" w:type="dxa"/>
            <w:bottom w:w="0" w:type="dxa"/>
            <w:right w:w="0" w:type="dxa"/>
          </w:tblCellMar>
        </w:tblPrEx>
        <w:trPr>
          <w:trHeight w:val="105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效</w:t>
            </w:r>
            <w:r>
              <w:rPr>
                <w:rFonts w:ascii="仿宋_GB2312" w:hAnsi="仿宋" w:eastAsia="仿宋_GB2312" w:cs="仿宋_GB2312"/>
              </w:rPr>
              <w:br w:type="textWrapping"/>
            </w:r>
            <w:r>
              <w:rPr>
                <w:rFonts w:cs="宋体"/>
              </w:rPr>
              <w:t>益</w:t>
            </w:r>
            <w:r>
              <w:rPr>
                <w:rFonts w:ascii="仿宋_GB2312" w:hAnsi="仿宋" w:eastAsia="仿宋_GB2312" w:cs="仿宋_GB2312"/>
              </w:rPr>
              <w:br w:type="textWrapping"/>
            </w:r>
            <w:r>
              <w:rPr>
                <w:rFonts w:cs="宋体"/>
              </w:rPr>
              <w:t>指</w:t>
            </w:r>
            <w:r>
              <w:rPr>
                <w:rFonts w:ascii="仿宋_GB2312" w:hAnsi="仿宋" w:eastAsia="仿宋_GB2312" w:cs="仿宋_GB2312"/>
              </w:rPr>
              <w:br w:type="textWrapping"/>
            </w:r>
            <w:r>
              <w:rPr>
                <w:rFonts w:cs="宋体"/>
              </w:rPr>
              <w:t>标</w:t>
            </w:r>
          </w:p>
        </w:tc>
        <w:tc>
          <w:tcPr>
            <w:tcW w:w="15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社会效益指标</w:t>
            </w: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活动参与人次</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≥10</w:t>
            </w:r>
            <w:r>
              <w:rPr>
                <w:rFonts w:cs="宋体"/>
              </w:rPr>
              <w:t>万</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13</w:t>
            </w:r>
            <w:r>
              <w:rPr>
                <w:rFonts w:cs="宋体"/>
              </w:rPr>
              <w:t>万</w:t>
            </w:r>
          </w:p>
        </w:tc>
      </w:tr>
      <w:tr>
        <w:tblPrEx>
          <w:tblCellMar>
            <w:top w:w="0" w:type="dxa"/>
            <w:left w:w="0" w:type="dxa"/>
            <w:bottom w:w="0" w:type="dxa"/>
            <w:right w:w="0" w:type="dxa"/>
          </w:tblCellMar>
        </w:tblPrEx>
        <w:trPr>
          <w:trHeight w:val="105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投稿数量</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≥3000</w:t>
            </w:r>
            <w:r>
              <w:rPr>
                <w:rFonts w:cs="宋体"/>
              </w:rPr>
              <w:t>件</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5000</w:t>
            </w:r>
            <w:r>
              <w:rPr>
                <w:rFonts w:cs="宋体"/>
              </w:rPr>
              <w:t>件</w:t>
            </w:r>
            <w:r>
              <w:rPr>
                <w:rFonts w:ascii="仿宋_GB2312" w:eastAsia="仿宋_GB2312" w:cs="仿宋_GB2312"/>
              </w:rPr>
              <w:t>+</w:t>
            </w:r>
          </w:p>
        </w:tc>
      </w:tr>
      <w:tr>
        <w:tblPrEx>
          <w:tblCellMar>
            <w:top w:w="0" w:type="dxa"/>
            <w:left w:w="0" w:type="dxa"/>
            <w:bottom w:w="0" w:type="dxa"/>
            <w:right w:w="0" w:type="dxa"/>
          </w:tblCellMar>
        </w:tblPrEx>
        <w:trPr>
          <w:trHeight w:val="105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活动短视频传播转发影响力</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20</w:t>
            </w:r>
            <w:r>
              <w:rPr>
                <w:rFonts w:cs="宋体"/>
              </w:rPr>
              <w:t>家以上媒体转发</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20</w:t>
            </w:r>
            <w:r>
              <w:rPr>
                <w:rFonts w:cs="宋体"/>
              </w:rPr>
              <w:t>家以上</w:t>
            </w:r>
          </w:p>
        </w:tc>
      </w:tr>
      <w:tr>
        <w:tblPrEx>
          <w:tblCellMar>
            <w:top w:w="0" w:type="dxa"/>
            <w:left w:w="0" w:type="dxa"/>
            <w:bottom w:w="0" w:type="dxa"/>
            <w:right w:w="0" w:type="dxa"/>
          </w:tblCellMar>
        </w:tblPrEx>
        <w:trPr>
          <w:trHeight w:val="105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5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活动形成品牌影响力</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逐步提升</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逐步提升</w:t>
            </w:r>
          </w:p>
        </w:tc>
      </w:tr>
      <w:tr>
        <w:tblPrEx>
          <w:tblCellMar>
            <w:top w:w="0" w:type="dxa"/>
            <w:left w:w="0" w:type="dxa"/>
            <w:bottom w:w="0" w:type="dxa"/>
            <w:right w:w="0" w:type="dxa"/>
          </w:tblCellMar>
        </w:tblPrEx>
        <w:trPr>
          <w:trHeight w:val="825"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满意度指标</w:t>
            </w:r>
          </w:p>
        </w:tc>
        <w:tc>
          <w:tcPr>
            <w:tcW w:w="15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服务对象</w:t>
            </w:r>
            <w:r>
              <w:rPr>
                <w:rFonts w:ascii="仿宋_GB2312" w:hAnsi="仿宋" w:eastAsia="仿宋_GB2312" w:cs="仿宋_GB2312"/>
              </w:rPr>
              <w:br w:type="textWrapping"/>
            </w:r>
            <w:r>
              <w:rPr>
                <w:rFonts w:cs="宋体"/>
              </w:rPr>
              <w:t>满意度指标</w:t>
            </w:r>
          </w:p>
        </w:tc>
        <w:tc>
          <w:tcPr>
            <w:tcW w:w="27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cs="宋体"/>
              </w:rPr>
              <w:t>市民满意度</w:t>
            </w:r>
          </w:p>
        </w:tc>
        <w:tc>
          <w:tcPr>
            <w:tcW w:w="1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≥95%</w:t>
            </w:r>
          </w:p>
        </w:tc>
        <w:tc>
          <w:tcPr>
            <w:tcW w:w="14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仿宋_GB2312" w:hAnsi="仿宋" w:eastAsia="仿宋_GB2312" w:cs="仿宋_GB2312"/>
              </w:rPr>
            </w:pPr>
            <w:r>
              <w:rPr>
                <w:rFonts w:ascii="仿宋_GB2312" w:eastAsia="仿宋_GB2312" w:cs="仿宋_GB2312"/>
              </w:rPr>
              <w:t>96%</w:t>
            </w:r>
          </w:p>
        </w:tc>
      </w:tr>
    </w:tbl>
    <w:p>
      <w:pPr>
        <w:pStyle w:val="72"/>
        <w:ind w:firstLine="640" w:firstLineChars="200"/>
        <w:rPr>
          <w:rFonts w:ascii="仿宋_GB2312" w:hAnsi="仿宋" w:eastAsia="仿宋_GB2312" w:cs="仿宋_GB2312"/>
          <w:sz w:val="32"/>
          <w:szCs w:val="32"/>
        </w:rPr>
      </w:pPr>
      <w:r>
        <w:rPr>
          <w:rFonts w:hint="eastAsia" w:ascii="黑体" w:hAnsi="宋体" w:eastAsia="黑体" w:cs="黑体"/>
          <w:sz w:val="32"/>
          <w:szCs w:val="32"/>
        </w:rPr>
        <w:t>四、成本效益分析</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（一）资金计划、到位及使用情况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本项目资金来源为2022年度昆明市文艺精品创作专项扶持资金资助项目资金补助，共计29.372万元。</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 xml:space="preserve">本项目资金于2022年10月到位29.372万元，为确保财政预算资金有效合理使用，提高资金使用效率，该项目资金实行专款专用。 </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截至自查时间节点，项目资金实际支出情况为已按照财务流程和相关监管要求，支出线上技术开发费用、奖金费用、令起春城舞花间演员拍摄、评审、宣传推广的费用。</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（二）项目财务管理情况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支出均有相关的授权审批，资金拨付严格审批程序，使用规范，会计核算结果真实、准确，未发现有截留、挤占或挪用项目资金的情况，用于线上技术开发费用、奖金费用、令起春城舞花间演员拍摄、评审、宣传推广的费用。</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（三）项目组织实施情况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为确保项目保质保量地完成，项目严格按照操作程序实施项目管理。一是自觉接受上级部门、社会监督，提高项目质量。二是加强技术指导，进行项目日常自检管理。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严格按照相关规定，成立活动专门小组，设组长、副组长，分别牵头管理活动执行、技术开发、短视频制作、活动推广等工作。资金拨付严格按照财政资金管理、使用流程，支付线上技术开发费用、奖金费用、令起春城舞花间演员拍摄、评审、宣传推广的费用。</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五、主要经验及做法、存在的问题和建议</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1.主要经验及做法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上线自主开发的作品征集技术平台，并融合进活动专属“春城飞花令”小程序，方便市民参与并转发。征集页面、小程序除了投稿功能外，还复合了展示、海报模板生成、分享等互动功能，便于参与者主动转发推广，提升活动影响力。</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推出全新原创系列短视频“令起春城舞花间”，热力推荐昆明赏花热门打卡地，以舞相祝、以舞相咏，传递美好生活的如花愿景，“令起春城舞花间”系列短视频收获广泛好评，被人民网、中国日报、北京日报、澎湃新闻、云南省文旅厅、游云南、学习强国、新浪、网易等多平台转发。其中，蓝花楹、海菜花单期视频全网转发量100万+；绣球花海短视频被学习强国总网转发，播放量35.6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2.存在的问题</w:t>
      </w:r>
    </w:p>
    <w:p>
      <w:pPr>
        <w:pStyle w:val="2"/>
        <w:spacing w:line="600" w:lineRule="exact"/>
        <w:ind w:firstLine="640"/>
        <w:rPr>
          <w:rFonts w:ascii="仿宋" w:hAnsi="仿宋" w:eastAsia="仿宋" w:cs="仿宋"/>
          <w:sz w:val="32"/>
          <w:szCs w:val="32"/>
        </w:rPr>
      </w:pPr>
      <w:r>
        <w:rPr>
          <w:rFonts w:hint="eastAsia" w:ascii="仿宋" w:hAnsi="仿宋" w:eastAsia="仿宋" w:cs="仿宋"/>
          <w:sz w:val="32"/>
          <w:szCs w:val="32"/>
        </w:rPr>
        <w:t>作品征集的范围覆盖不够广，影响力有待提升，对于一些行业类的作者宣传推介不够。</w:t>
      </w:r>
    </w:p>
    <w:p>
      <w:pPr>
        <w:pStyle w:val="2"/>
        <w:spacing w:line="600" w:lineRule="exact"/>
        <w:ind w:firstLine="640"/>
        <w:rPr>
          <w:rFonts w:ascii="仿宋" w:hAnsi="仿宋" w:eastAsia="仿宋" w:cs="仿宋"/>
          <w:sz w:val="32"/>
          <w:szCs w:val="32"/>
        </w:rPr>
      </w:pPr>
      <w:r>
        <w:rPr>
          <w:rFonts w:hint="eastAsia" w:ascii="仿宋" w:hAnsi="仿宋" w:eastAsia="仿宋" w:cs="仿宋"/>
          <w:sz w:val="32"/>
          <w:szCs w:val="32"/>
        </w:rPr>
        <w:t>令起春城舞花间拍摄地覆盖不够，还有很多的赏花打卡地可以拍摄制作短视频精品，向社会推介。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3.改进措施及建议</w:t>
      </w:r>
    </w:p>
    <w:p>
      <w:pPr>
        <w:pStyle w:val="2"/>
        <w:spacing w:line="600" w:lineRule="exact"/>
        <w:ind w:firstLine="640"/>
        <w:rPr>
          <w:rFonts w:ascii="仿宋" w:hAnsi="仿宋" w:eastAsia="仿宋" w:cs="仿宋"/>
          <w:sz w:val="32"/>
          <w:szCs w:val="32"/>
        </w:rPr>
      </w:pPr>
      <w:r>
        <w:rPr>
          <w:rFonts w:hint="eastAsia" w:ascii="仿宋" w:hAnsi="仿宋" w:eastAsia="仿宋" w:cs="仿宋"/>
          <w:sz w:val="32"/>
          <w:szCs w:val="32"/>
        </w:rPr>
        <w:t>将加大面向昆明大学校园的作品征集宣传力度，将大学生群体吸引到活动参与中来，更好地推介昆明的城市魅力，持续提升活动宣传的影响力。</w:t>
      </w:r>
    </w:p>
    <w:p>
      <w:pPr>
        <w:pStyle w:val="2"/>
        <w:spacing w:line="600" w:lineRule="exact"/>
        <w:ind w:firstLineChars="0"/>
        <w:rPr>
          <w:rFonts w:ascii="仿宋" w:hAnsi="仿宋" w:eastAsia="仿宋" w:cs="仿宋"/>
          <w:sz w:val="32"/>
          <w:szCs w:val="32"/>
        </w:rPr>
      </w:pPr>
      <w:r>
        <w:rPr>
          <w:rFonts w:hint="eastAsia" w:ascii="仿宋" w:hAnsi="仿宋" w:eastAsia="仿宋" w:cs="仿宋"/>
          <w:sz w:val="32"/>
          <w:szCs w:val="32"/>
        </w:rPr>
        <w:t>在“令起春城舞花间”短视频制作中，应该加入更多的赏花打卡地推荐覆盖，制作更多样的宣传短视频。</w:t>
      </w:r>
    </w:p>
    <w:p>
      <w:pPr>
        <w:spacing w:line="600" w:lineRule="exact"/>
        <w:jc w:val="both"/>
        <w:rPr>
          <w:rFonts w:hint="default" w:cs="宋体"/>
        </w:rPr>
      </w:pPr>
      <w:r>
        <w:rPr>
          <w:rFonts w:cs="宋体"/>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pStyle w:val="15"/>
        <w:jc w:val="both"/>
        <w:rPr>
          <w:rFonts w:ascii="楷体_GB2312" w:eastAsia="楷体_GB2312" w:cs="楷体_GB2312"/>
          <w:b w:val="0"/>
        </w:rPr>
      </w:pPr>
      <w:r>
        <w:rPr>
          <w:rFonts w:ascii="楷体_GB2312" w:eastAsia="楷体_GB2312" w:cs="楷体_GB2312"/>
          <w:b w:val="0"/>
        </w:rPr>
        <w:t xml:space="preserve"> </w:t>
      </w:r>
    </w:p>
    <w:p>
      <w:pPr>
        <w:pStyle w:val="15"/>
        <w:jc w:val="both"/>
        <w:rPr>
          <w:rFonts w:hint="eastAsia" w:ascii="楷体_GB2312" w:hAnsi="楷体_GB2312" w:cs="楷体_GB2312"/>
          <w:b w:val="0"/>
        </w:rPr>
      </w:pPr>
      <w:r>
        <w:rPr>
          <w:rFonts w:hint="eastAsia" w:ascii="楷体_GB2312" w:hAnsi="楷体_GB2312" w:cs="楷体_GB2312"/>
          <w:b w:val="0"/>
        </w:rPr>
        <w:t xml:space="preserve"> </w:t>
      </w:r>
    </w:p>
    <w:p>
      <w:pPr>
        <w:pStyle w:val="15"/>
        <w:jc w:val="both"/>
        <w:rPr>
          <w:rFonts w:hint="eastAsia" w:ascii="楷体_GB2312" w:hAnsi="楷体_GB2312" w:cs="楷体_GB2312"/>
          <w:b w:val="0"/>
        </w:rPr>
      </w:pPr>
      <w:r>
        <w:rPr>
          <w:rFonts w:hint="eastAsia" w:ascii="楷体_GB2312" w:hAnsi="楷体_GB2312" w:cs="楷体_GB2312"/>
          <w:b w:val="0"/>
        </w:rPr>
        <w:t xml:space="preserve"> </w:t>
      </w:r>
    </w:p>
    <w:p>
      <w:pPr>
        <w:pStyle w:val="15"/>
        <w:jc w:val="both"/>
        <w:rPr>
          <w:rFonts w:hint="eastAsia" w:ascii="楷体_GB2312" w:hAnsi="楷体_GB2312" w:cs="楷体_GB2312"/>
          <w:b w:val="0"/>
        </w:rPr>
      </w:pPr>
      <w:r>
        <w:rPr>
          <w:rFonts w:hint="eastAsia" w:ascii="楷体_GB2312" w:hAnsi="楷体_GB2312" w:cs="楷体_GB2312"/>
          <w:b w:val="0"/>
        </w:rPr>
        <w:t xml:space="preserve"> </w:t>
      </w:r>
    </w:p>
    <w:p>
      <w:pPr>
        <w:pStyle w:val="15"/>
        <w:jc w:val="both"/>
        <w:rPr>
          <w:rFonts w:ascii="宋体" w:hAnsi="宋体" w:cs="宋体"/>
          <w:b w:val="0"/>
        </w:rPr>
      </w:pPr>
    </w:p>
    <w:p>
      <w:pPr>
        <w:pStyle w:val="15"/>
        <w:jc w:val="both"/>
        <w:rPr>
          <w:rFonts w:ascii="宋体" w:hAnsi="宋体" w:cs="宋体"/>
          <w:b w:val="0"/>
        </w:rPr>
      </w:pPr>
    </w:p>
    <w:p>
      <w:pPr>
        <w:pStyle w:val="15"/>
        <w:jc w:val="both"/>
        <w:rPr>
          <w:rFonts w:ascii="宋体" w:hAnsi="宋体" w:cs="宋体"/>
          <w:b w:val="0"/>
        </w:rPr>
      </w:pPr>
    </w:p>
    <w:p>
      <w:pPr>
        <w:pStyle w:val="15"/>
        <w:jc w:val="both"/>
        <w:rPr>
          <w:rFonts w:hint="eastAsia" w:ascii="宋体" w:hAnsi="宋体" w:cs="宋体"/>
          <w:b w:val="0"/>
        </w:rPr>
      </w:pPr>
    </w:p>
    <w:p>
      <w:pPr>
        <w:pStyle w:val="15"/>
        <w:jc w:val="both"/>
        <w:rPr>
          <w:rFonts w:hint="eastAsia" w:ascii="宋体" w:hAnsi="宋体" w:cs="宋体"/>
          <w:b w:val="0"/>
        </w:rPr>
      </w:pPr>
    </w:p>
    <w:p>
      <w:pPr>
        <w:pStyle w:val="15"/>
        <w:jc w:val="both"/>
        <w:rPr>
          <w:rFonts w:hint="eastAsia" w:ascii="宋体" w:hAnsi="宋体" w:cs="宋体"/>
          <w:b w:val="0"/>
        </w:rPr>
      </w:pPr>
    </w:p>
    <w:p>
      <w:pPr>
        <w:pStyle w:val="15"/>
        <w:jc w:val="both"/>
        <w:rPr>
          <w:rFonts w:hint="eastAsia" w:ascii="宋体" w:hAnsi="宋体" w:cs="宋体"/>
          <w:b w:val="0"/>
        </w:rPr>
      </w:pPr>
    </w:p>
    <w:p>
      <w:pPr>
        <w:pStyle w:val="15"/>
        <w:jc w:val="both"/>
        <w:rPr>
          <w:rFonts w:hint="eastAsia" w:ascii="宋体" w:hAnsi="宋体" w:cs="宋体"/>
          <w:b w:val="0"/>
        </w:rPr>
      </w:pPr>
    </w:p>
    <w:p>
      <w:pPr>
        <w:pStyle w:val="15"/>
        <w:jc w:val="both"/>
        <w:rPr>
          <w:rFonts w:hint="eastAsia" w:ascii="宋体" w:hAnsi="宋体" w:cs="宋体"/>
          <w:b w:val="0"/>
        </w:rPr>
      </w:pPr>
    </w:p>
    <w:p>
      <w:pPr>
        <w:pStyle w:val="15"/>
        <w:jc w:val="both"/>
        <w:rPr>
          <w:rFonts w:ascii="方正小标宋_GBK" w:hAnsi="方正小标宋_GBK" w:eastAsia="方正小标宋_GBK" w:cs="方正小标宋_GBK"/>
          <w:sz w:val="36"/>
          <w:szCs w:val="36"/>
        </w:rPr>
      </w:pPr>
      <w:r>
        <w:rPr>
          <w:rFonts w:hint="eastAsia" w:ascii="宋体" w:hAnsi="宋体" w:cs="宋体"/>
          <w:b w:val="0"/>
        </w:rPr>
        <w:t>项目七：</w:t>
      </w:r>
    </w:p>
    <w:p>
      <w:pPr>
        <w:spacing w:line="560" w:lineRule="exact"/>
        <w:jc w:val="center"/>
        <w:rPr>
          <w:rFonts w:hint="default" w:ascii="方正小标宋简体" w:hAnsi="方正小标宋简体" w:eastAsia="方正小标宋简体" w:cs="方正小标宋简体"/>
          <w:sz w:val="44"/>
          <w:szCs w:val="44"/>
        </w:rPr>
      </w:pPr>
      <w:r>
        <w:rPr>
          <w:rFonts w:cs="宋体"/>
          <w:sz w:val="44"/>
          <w:szCs w:val="44"/>
        </w:rPr>
        <w:t>《</w:t>
      </w:r>
      <w:r>
        <w:rPr>
          <w:rFonts w:ascii="方正小标宋简体" w:hAnsi="方正小标宋简体" w:eastAsia="方正小标宋简体" w:cs="方正小标宋简体"/>
          <w:sz w:val="44"/>
          <w:szCs w:val="44"/>
        </w:rPr>
        <w:t>2021</w:t>
      </w:r>
      <w:r>
        <w:rPr>
          <w:rFonts w:cs="宋体"/>
          <w:sz w:val="44"/>
          <w:szCs w:val="44"/>
        </w:rPr>
        <w:t>媒体看昆明》书籍编辑及印刷</w:t>
      </w:r>
    </w:p>
    <w:p>
      <w:pPr>
        <w:spacing w:line="560" w:lineRule="exact"/>
        <w:jc w:val="center"/>
        <w:rPr>
          <w:rFonts w:hint="default" w:ascii="方正小标宋简体" w:hAnsi="方正小标宋简体" w:eastAsia="方正小标宋简体" w:cs="方正小标宋简体"/>
          <w:sz w:val="44"/>
          <w:szCs w:val="44"/>
        </w:rPr>
      </w:pPr>
      <w:r>
        <w:rPr>
          <w:rFonts w:cs="宋体"/>
          <w:sz w:val="44"/>
          <w:szCs w:val="44"/>
        </w:rPr>
        <w:t>（党务政务信息公开新闻发布专项经费）</w:t>
      </w:r>
    </w:p>
    <w:p>
      <w:pPr>
        <w:spacing w:line="560" w:lineRule="exact"/>
        <w:jc w:val="center"/>
        <w:rPr>
          <w:rFonts w:hint="default" w:ascii="方正小标宋简体" w:hAnsi="方正小标宋简体" w:eastAsia="方正小标宋简体" w:cs="方正小标宋简体"/>
          <w:sz w:val="44"/>
          <w:szCs w:val="44"/>
        </w:rPr>
      </w:pPr>
      <w:r>
        <w:rPr>
          <w:rFonts w:cs="宋体"/>
          <w:sz w:val="44"/>
          <w:szCs w:val="44"/>
        </w:rPr>
        <w:t>项目支出绩效自评报告</w:t>
      </w:r>
    </w:p>
    <w:p>
      <w:pPr>
        <w:spacing w:line="560" w:lineRule="exact"/>
        <w:jc w:val="both"/>
        <w:rPr>
          <w:rFonts w:hint="default" w:ascii="方正小标宋_GBK" w:eastAsia="方正小标宋_GBK" w:cs="方正小标宋_GBK"/>
        </w:rPr>
      </w:pPr>
      <w:r>
        <w:rPr>
          <w:rFonts w:hint="default" w:ascii="方正小标宋_GBK" w:eastAsia="方正小标宋_GBK" w:cs="方正小标宋_GBK"/>
        </w:rPr>
        <w:t xml:space="preserve"> </w:t>
      </w:r>
    </w:p>
    <w:p>
      <w:pPr>
        <w:topLinePunct/>
        <w:spacing w:line="560" w:lineRule="exact"/>
        <w:ind w:firstLine="640" w:firstLineChars="200"/>
        <w:jc w:val="both"/>
        <w:rPr>
          <w:rFonts w:hint="default" w:ascii="黑体" w:eastAsia="黑体" w:cs="黑体"/>
          <w:sz w:val="32"/>
          <w:szCs w:val="32"/>
        </w:rPr>
      </w:pPr>
      <w:r>
        <w:rPr>
          <w:rFonts w:ascii="黑体" w:eastAsia="黑体" w:cs="黑体"/>
          <w:sz w:val="32"/>
          <w:szCs w:val="32"/>
        </w:rPr>
        <w:t>一、项目基本情况</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（一）项目概况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1.立项背景及目的</w:t>
      </w:r>
    </w:p>
    <w:p>
      <w:pPr>
        <w:autoSpaceDN w:val="0"/>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昆明是云南省的省会城市，是首批国家级历史文化名城。作为省内唯一的特大城市和西部地区第四大城市，它是云南省政治、经济、文化、科技、交通中心，是我国重要的旅游、商贸城市、西部地区重要的中心城市，国家一级口岸城市，亦是滇中城市群的核心圈。此外，它还是中国面向东南亚、南亚开放的门户枢纽，是中国唯一面向东盟的大都市，具有东连黔桂通沿海，北经川渝进中原，南下越老达泰柬，西接缅甸连印巴的独特区位优势。</w:t>
      </w:r>
    </w:p>
    <w:p>
      <w:pPr>
        <w:autoSpaceDN w:val="0"/>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习近平总书记赴云南考察时，希望云南正确认识和把握在全国发展大局中的地位和作用，坚决贯彻党中央重大决策部署，统筹推进稳增长、促改革、调结构、惠民生、防风险、保稳定工作，努力在建设我国民族团结进步示范区、生态文明建设排头兵、面向南亚东南亚辐射中心上不断取得新进展，谱写好中国梦的云南篇章。</w:t>
      </w:r>
    </w:p>
    <w:p>
      <w:pPr>
        <w:autoSpaceDN w:val="0"/>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为贯彻落实习近平总书记考察云南的重要讲话精神，进一步加大昆明对外宣传力度，充分总结昆明市外宣工作成果，拟在市委宣传部指导下，由昆明报业传媒集团（昆明日报社）负责编印《2021媒体看昆明》书籍，该书将以媒体观察视野，全方位展现昆明在疫情防控、生态文明建设、经济社会发展等方面取得的成就，进一步提升昆明城市品牌的知名度和影响力，并为各级领导和相关部门提供参考。</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于此背景，受昆明市委宣传部委托，昆明报业传媒集团（昆明日报社）于2022年4月启动《2021媒体看昆明》书籍编辑及印刷工作。</w:t>
      </w:r>
    </w:p>
    <w:p>
      <w:pPr>
        <w:topLinePunct/>
        <w:autoSpaceDN w:val="0"/>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整体建设费用预计6.1万元，市财政部门专项补助6.1万元。</w:t>
      </w:r>
    </w:p>
    <w:p>
      <w:pPr>
        <w:topLinePunct/>
        <w:autoSpaceDN w:val="0"/>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topLinePunct/>
        <w:autoSpaceDN w:val="0"/>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2022年，昆明报业传媒集团（昆明日报社）严格按照各级规章制度认真开展预算执行和绩效跟踪工作，截至目前，总体实施情况如下：</w:t>
      </w:r>
    </w:p>
    <w:p>
      <w:pPr>
        <w:pStyle w:val="55"/>
        <w:widowControl/>
        <w:shd w:val="clear" w:color="auto" w:fill="FFFFFF"/>
        <w:autoSpaceDN w:val="0"/>
        <w:spacing w:line="560" w:lineRule="exact"/>
        <w:ind w:firstLine="562"/>
        <w:jc w:val="both"/>
        <w:rPr>
          <w:rFonts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第一阶段（4月18日-4月29日）：邀请央级、省级、市级、港澳媒体、新媒体选送2021年全年刊发的，宣传报道昆明的稿件。</w:t>
      </w:r>
    </w:p>
    <w:p>
      <w:pPr>
        <w:pStyle w:val="55"/>
        <w:widowControl/>
        <w:shd w:val="clear" w:color="auto" w:fill="FFFFFF"/>
        <w:autoSpaceDN w:val="0"/>
        <w:spacing w:line="560" w:lineRule="exact"/>
        <w:ind w:firstLine="562"/>
        <w:jc w:val="both"/>
        <w:rPr>
          <w:rFonts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第二阶段（5月9日-5月13日）：由市政府新闻办对媒体选送的稿件进行初筛，遴选出50-60篇稿件。</w:t>
      </w:r>
    </w:p>
    <w:p>
      <w:pPr>
        <w:autoSpaceDN w:val="0"/>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第三阶段（5月16日-5月31日）由业界专家、学者等组成评委会，对遴选出的稿件进行评比，最终选出一、二、三等奖及入围奖。</w:t>
      </w:r>
    </w:p>
    <w:p>
      <w:pPr>
        <w:autoSpaceDN w:val="0"/>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第四阶段：出版印刷。6月中下旬完成。</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3.资金来源及使用情况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市财政部门专项补助6.1万元，决算数6.1万元。项目完成率100%，达到年度绩效目标。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4.组织及管理情况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包括项目组织情况、项目实施流程、资金拨付流程。</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（1）项目组织情况：昆明报业传媒集团的项目支出和绩效管理工作由项目组组长、副组长、集团办公室、出纳、会计相互协调配合、共同完成。</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流程：集团根据省、市相关工作要求，认真梳理、核定出项目预算开支统计表，严格按照各级规章制度认真开展预算执行和绩效跟踪。合同签订、资金支付符合制度规定、资料完备、程序合规。2022年项目建设工作全面完成进度目标，资金支付使用已全部完成。</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（3）资金拨付流程：</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项目经费6.1万元，经过2022年初预算、执行、跟踪及决算等流程，资金已全部拨付到位。截至2022年12月，全部资金已执行完毕，执行金额6.1万元，执行完成率100%。</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1.数量指标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收集整理中央级主要媒体，即人民日报（人民网）、新华社（《新华每日电讯》、新华网）、光明日报、经济日报、中央广播电视总台（中央人民广播电台、中央电视台）、中国日报（网）、中国青年报、农民日报、中新社（《中国新闻周刊》、中新网）、工人日报、人民日报海外版等中央级主流媒体稿件。</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收集整理省级主要媒体，即云南日报、云南广播电视台（云南卫视、云南都市频道、新闻广播频道105.8，交通之声91.8）、春城晚报、云南信息报、云南经济日报、云南法制报、云南政协报等省内主流媒体稿件。</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（3）收集整理香港文汇大公报、香港商报等港澳驻昆媒体稿件。</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（4）根据实施方案，书籍页码300页，印量350册。</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2.质量指标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按照项目实施方案要求对书籍进行资料收集整理、设计编辑和排版印刷。</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3.社会效益</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通过该书加大昆明对外宣传力度，提升昆明城市品牌的知名度和影响力。</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4.可持续影响</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《媒体看昆明》已连续编印多年，致力于整体连贯性，持续提升昆明的对外宣传，形成较好的正面影响力。</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5.服务对象满意度</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服务对象及大众满意度较高。</w:t>
      </w:r>
    </w:p>
    <w:p>
      <w:pPr>
        <w:topLinePunct/>
        <w:spacing w:line="560" w:lineRule="exact"/>
        <w:ind w:firstLine="800" w:firstLineChars="250"/>
        <w:jc w:val="both"/>
        <w:rPr>
          <w:rFonts w:hint="default" w:ascii="黑体" w:eastAsia="黑体" w:cs="黑体"/>
          <w:sz w:val="32"/>
          <w:szCs w:val="32"/>
        </w:rPr>
      </w:pPr>
      <w:r>
        <w:rPr>
          <w:rFonts w:ascii="黑体" w:eastAsia="黑体" w:cs="黑体"/>
          <w:sz w:val="32"/>
          <w:szCs w:val="32"/>
        </w:rPr>
        <w:t>二、绩效评价工作情况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为强化预算绩效管理结果运用，增强支出责任，优化财政资源配置，提高财政资金使用效益，推进财政科学化精细化管理，根据市财政局绩效管理相关，进行绩效评价指标体系设计。</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包括科学规范、公开公正、绩效相关等原则。</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2.绩效评价方法</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包括指标评价、数据采集和社会调查中所采用的方法。</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3.绩效评价实施过程</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根据项目实际开展情况及第三方测评、验收情况，综合评价后得出最终结果。</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根据该项目的实施情况，结合目前各项数据积累，对项目进行分析，以形成最终报告。</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4.本次绩效评价的局限性</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社会效益指标、可持续影响指标属于长期性指标，故无法对效果和成果做定量化的评价。</w:t>
      </w:r>
    </w:p>
    <w:p>
      <w:pPr>
        <w:topLinePunct/>
        <w:spacing w:line="560" w:lineRule="exact"/>
        <w:ind w:firstLine="640" w:firstLineChars="200"/>
        <w:jc w:val="both"/>
        <w:rPr>
          <w:rFonts w:hint="default" w:ascii="黑体" w:eastAsia="黑体" w:cs="黑体"/>
          <w:sz w:val="32"/>
          <w:szCs w:val="32"/>
        </w:rPr>
      </w:pPr>
      <w:r>
        <w:rPr>
          <w:rFonts w:ascii="黑体" w:eastAsia="黑体" w:cs="黑体"/>
          <w:sz w:val="32"/>
          <w:szCs w:val="32"/>
        </w:rPr>
        <w:t>三、评价结论和绩效分析</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topLinePunct/>
        <w:spacing w:line="56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kern w:val="2"/>
          <w:sz w:val="32"/>
          <w:szCs w:val="32"/>
          <w:shd w:val="clear" w:color="auto" w:fill="FFFFFF"/>
        </w:rPr>
        <w:t>全书的基本架构，</w:t>
      </w:r>
      <w:r>
        <w:rPr>
          <w:rFonts w:ascii="仿宋" w:hAnsi="仿宋" w:eastAsia="仿宋" w:cs="仿宋"/>
          <w:sz w:val="32"/>
          <w:szCs w:val="32"/>
          <w:shd w:val="clear" w:color="auto" w:fill="FFFFFF"/>
        </w:rPr>
        <w:t>《2021媒体看昆明》以“媒体申报，稿件初筛，专家评审”三级评审的形式，突出选取2021年各级各类媒体围绕昆明深入贯彻习近平总书记考察云南重要精神和党中央、省委决策部署，全面贯彻新发展理念，服务和融入新发展格局，推动经济社会发展和党的建设取得积极进展等方面刊发刊播的正面宣传稿件和媒体产品汇编成书。</w:t>
      </w:r>
    </w:p>
    <w:p>
      <w:pPr>
        <w:topLinePunct/>
        <w:spacing w:line="560" w:lineRule="exact"/>
        <w:ind w:firstLine="640" w:firstLineChars="200"/>
        <w:jc w:val="both"/>
        <w:rPr>
          <w:rFonts w:hint="default" w:ascii="仿宋" w:hAnsi="仿宋" w:eastAsia="仿宋" w:cs="仿宋"/>
          <w:kern w:val="2"/>
          <w:sz w:val="32"/>
          <w:szCs w:val="32"/>
          <w:shd w:val="clear" w:color="auto" w:fill="FFFFFF"/>
        </w:rPr>
      </w:pPr>
      <w:r>
        <w:rPr>
          <w:rFonts w:ascii="仿宋" w:hAnsi="仿宋" w:eastAsia="仿宋" w:cs="仿宋"/>
          <w:sz w:val="32"/>
          <w:szCs w:val="32"/>
          <w:shd w:val="clear" w:color="auto" w:fill="FFFFFF"/>
        </w:rPr>
        <w:t>同时，为充分体现“移动优先”的媒体融合发展思路，《2021媒体看昆明》将首次采用电子书的形式，将纸质图书设计制作成电子书，方便随时阅览。</w:t>
      </w:r>
    </w:p>
    <w:p>
      <w:pPr>
        <w:autoSpaceDN w:val="0"/>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全书的编辑工作，突出选取了有思想、有温度、有品质的作品，在充分尊重保持原稿的同时，对入选稿件进行取舍和二次加工，用活泼多样的编辑语言和版式设计，准确、生动、全面地体现政策导向，全方位展示昆明经济社会发展成就。</w:t>
      </w:r>
    </w:p>
    <w:p>
      <w:pPr>
        <w:autoSpaceDN w:val="0"/>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项目于2022年5月召开了专家评审会。经过专家评议，共评选出一等奖，二等奖，三等奖。</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autoSpaceDN w:val="0"/>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《2021媒体看昆明》以媒体观察视野，全方位展现了昆明在疫情防控、生态文明建设、经济社会发展等方面取得的成就，进一步提升了昆明城市品牌的知名度和影响力，并为各级领导和相关部门提供了参考。</w:t>
      </w:r>
    </w:p>
    <w:p>
      <w:pPr>
        <w:topLinePunct/>
        <w:spacing w:line="560" w:lineRule="exact"/>
        <w:ind w:firstLine="640" w:firstLineChars="200"/>
        <w:jc w:val="both"/>
        <w:rPr>
          <w:rFonts w:hint="default" w:ascii="黑体" w:eastAsia="黑体" w:cs="黑体"/>
          <w:sz w:val="32"/>
          <w:szCs w:val="32"/>
        </w:rPr>
      </w:pPr>
      <w:r>
        <w:rPr>
          <w:rFonts w:ascii="黑体" w:eastAsia="黑体" w:cs="黑体"/>
          <w:sz w:val="32"/>
          <w:szCs w:val="32"/>
        </w:rPr>
        <w:t>四、成本效益分析。</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对资金使用方向、资金收入和支出结构；项目和资金管理情况；资金的节约性、资金使用效果；变化趋势等进行分析评价。</w:t>
      </w:r>
    </w:p>
    <w:p>
      <w:pPr>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1.经济性分析：2022年1月至12月，财政专项拨款6.1万，项目完成比率100%，资金支付100%，完成年度绩效目标。</w:t>
      </w:r>
    </w:p>
    <w:p>
      <w:pPr>
        <w:autoSpaceDN w:val="0"/>
        <w:spacing w:line="56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rPr>
        <w:t>2.效益分析：通过本项目的实施,展现了昆明在疫情防控、生态文明建设、经济社会发展等方面取得的成就，进一步提升了昆明城市品牌的知名度和影响力，并为各级领导和相关部门提供了参考。</w:t>
      </w:r>
    </w:p>
    <w:p>
      <w:pPr>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shd w:val="clear" w:color="auto" w:fill="FFFFFF"/>
        </w:rPr>
        <w:t>3.服务对象满意度：根据本项目的具体实施及执行情况，对服务对象进行走访调查，总体满意度95%以上。</w:t>
      </w:r>
    </w:p>
    <w:p>
      <w:pPr>
        <w:pStyle w:val="73"/>
        <w:topLinePunct/>
        <w:spacing w:line="560" w:lineRule="exact"/>
        <w:ind w:firstLine="640"/>
        <w:jc w:val="both"/>
        <w:rPr>
          <w:rFonts w:ascii="仿宋_GB2312" w:hAnsi="仿宋" w:eastAsia="仿宋_GB2312" w:cs="仿宋_GB2312"/>
          <w:sz w:val="32"/>
          <w:szCs w:val="32"/>
        </w:rPr>
      </w:pPr>
      <w:r>
        <w:rPr>
          <w:rFonts w:hint="eastAsia" w:ascii="黑体" w:hAnsi="宋体" w:eastAsia="黑体" w:cs="黑体"/>
          <w:sz w:val="32"/>
          <w:szCs w:val="32"/>
        </w:rPr>
        <w:t>五、主要经验及做法、存在的问题和建议</w:t>
      </w:r>
    </w:p>
    <w:p>
      <w:pPr>
        <w:pStyle w:val="73"/>
        <w:topLinePunct/>
        <w:spacing w:line="560" w:lineRule="exact"/>
        <w:ind w:firstLine="640"/>
        <w:jc w:val="both"/>
        <w:rPr>
          <w:rFonts w:ascii="楷体" w:hAnsi="楷体" w:eastAsia="楷体" w:cs="楷体"/>
          <w:sz w:val="32"/>
          <w:szCs w:val="32"/>
        </w:rPr>
      </w:pPr>
      <w:r>
        <w:rPr>
          <w:rFonts w:hint="eastAsia" w:ascii="楷体" w:hAnsi="楷体" w:eastAsia="楷体" w:cs="楷体"/>
          <w:sz w:val="32"/>
          <w:szCs w:val="32"/>
        </w:rPr>
        <w:t>（一）主要经验及做法</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要构建“预算绩效有评估、预算编制有目标、预算执行有监控、预算完成有评价、评价结果有反馈、反馈结果有应用”的“全过程”绩效管理。开展支出预算事前绩效评估，进行重点项目绩效目标跟踪监控和事后评价，才能紧密围绕项目绩效管理推进各项工作开展。</w:t>
      </w:r>
    </w:p>
    <w:p>
      <w:pPr>
        <w:pStyle w:val="73"/>
        <w:topLinePunct/>
        <w:spacing w:line="560" w:lineRule="exact"/>
        <w:ind w:firstLine="640"/>
        <w:jc w:val="both"/>
        <w:rPr>
          <w:rFonts w:ascii="楷体" w:hAnsi="楷体" w:eastAsia="楷体" w:cs="楷体"/>
          <w:sz w:val="32"/>
          <w:szCs w:val="32"/>
        </w:rPr>
      </w:pPr>
      <w:r>
        <w:rPr>
          <w:rFonts w:hint="eastAsia" w:ascii="楷体" w:hAnsi="楷体" w:eastAsia="楷体" w:cs="楷体"/>
          <w:sz w:val="32"/>
          <w:szCs w:val="32"/>
        </w:rPr>
        <w:t>（二）存在的问题</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项目组成员对绩效评价认知不足，专业能力有待进一步加强。</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（三）建议和改进措施</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2023年，将按照财政预算安排编制项目支出绩效目标，科学有序地进行绩效测算，同时进一步加强项目管理，积极与市级相关部门对接，牢固树立绩效管理理念。</w:t>
      </w:r>
    </w:p>
    <w:p>
      <w:pPr>
        <w:pStyle w:val="2"/>
        <w:ind w:firstLine="640"/>
        <w:rPr>
          <w:rFonts w:ascii="楷体_GB2312" w:eastAsia="楷体_GB2312" w:cs="楷体_GB2312"/>
          <w:sz w:val="32"/>
          <w:szCs w:val="32"/>
        </w:rPr>
      </w:pPr>
      <w:r>
        <w:rPr>
          <w:rFonts w:ascii="楷体_GB2312" w:eastAsia="楷体_GB2312" w:cs="楷体_GB2312"/>
          <w:sz w:val="32"/>
          <w:szCs w:val="32"/>
        </w:rPr>
        <w:t xml:space="preserve"> </w:t>
      </w:r>
    </w:p>
    <w:p>
      <w:pPr>
        <w:pStyle w:val="2"/>
        <w:ind w:firstLine="640"/>
        <w:rPr>
          <w:rFonts w:ascii="楷体_GB2312" w:eastAsia="楷体_GB2312" w:cs="楷体_GB2312"/>
          <w:sz w:val="32"/>
          <w:szCs w:val="32"/>
        </w:rPr>
      </w:pPr>
      <w:r>
        <w:rPr>
          <w:rFonts w:ascii="楷体_GB2312" w:eastAsia="楷体_GB2312" w:cs="楷体_GB2312"/>
          <w:sz w:val="32"/>
          <w:szCs w:val="32"/>
        </w:rPr>
        <w:t xml:space="preserve"> </w:t>
      </w:r>
    </w:p>
    <w:p>
      <w:pPr>
        <w:pStyle w:val="15"/>
        <w:jc w:val="both"/>
        <w:rPr>
          <w:rFonts w:hint="eastAsia" w:ascii="楷体_GB2312" w:hAnsi="楷体_GB2312" w:cs="楷体_GB2312"/>
          <w:b w:val="0"/>
        </w:rPr>
      </w:pPr>
      <w:r>
        <w:rPr>
          <w:rFonts w:hint="eastAsia" w:ascii="楷体_GB2312" w:hAnsi="楷体_GB2312" w:cs="楷体_GB2312"/>
          <w:b w:val="0"/>
        </w:rPr>
        <w:t xml:space="preserve"> </w:t>
      </w:r>
    </w:p>
    <w:p>
      <w:pPr>
        <w:pStyle w:val="15"/>
        <w:jc w:val="both"/>
        <w:rPr>
          <w:rFonts w:ascii="宋体" w:hAnsi="宋体" w:cs="宋体"/>
          <w:b w:val="0"/>
        </w:rPr>
      </w:pPr>
    </w:p>
    <w:p>
      <w:pPr>
        <w:pStyle w:val="15"/>
        <w:jc w:val="both"/>
        <w:rPr>
          <w:rFonts w:ascii="宋体" w:hAnsi="宋体" w:cs="宋体"/>
          <w:b w:val="0"/>
        </w:rPr>
      </w:pPr>
    </w:p>
    <w:p>
      <w:pPr>
        <w:pStyle w:val="15"/>
        <w:jc w:val="both"/>
        <w:rPr>
          <w:rFonts w:ascii="楷体_GB2312" w:eastAsia="楷体_GB2312" w:cs="楷体_GB2312"/>
          <w:b w:val="0"/>
        </w:rPr>
      </w:pPr>
      <w:r>
        <w:rPr>
          <w:rFonts w:hint="eastAsia" w:ascii="宋体" w:hAnsi="宋体" w:cs="宋体"/>
          <w:b w:val="0"/>
        </w:rPr>
        <w:t>项目八：</w:t>
      </w:r>
    </w:p>
    <w:p>
      <w:pPr>
        <w:spacing w:line="660" w:lineRule="exact"/>
        <w:jc w:val="center"/>
        <w:rPr>
          <w:rFonts w:hint="default" w:ascii="方正小标宋简体" w:hAnsi="方正小标宋简体" w:eastAsia="方正小标宋简体" w:cs="方正小标宋简体"/>
          <w:sz w:val="44"/>
          <w:szCs w:val="44"/>
        </w:rPr>
      </w:pPr>
      <w:r>
        <w:rPr>
          <w:rFonts w:cs="宋体"/>
          <w:sz w:val="44"/>
          <w:szCs w:val="44"/>
        </w:rPr>
        <w:t>《演艺昆明》多媒体平台运营建设及</w:t>
      </w:r>
    </w:p>
    <w:p>
      <w:pPr>
        <w:spacing w:line="660" w:lineRule="exact"/>
        <w:jc w:val="center"/>
        <w:rPr>
          <w:rFonts w:hint="default" w:ascii="方正小标宋简体" w:hAnsi="方正小标宋简体" w:eastAsia="方正小标宋简体" w:cs="方正小标宋简体"/>
          <w:sz w:val="44"/>
          <w:szCs w:val="44"/>
        </w:rPr>
      </w:pPr>
      <w:r>
        <w:rPr>
          <w:rFonts w:cs="宋体"/>
          <w:sz w:val="44"/>
          <w:szCs w:val="44"/>
        </w:rPr>
        <w:t>特刊发行项目</w:t>
      </w:r>
    </w:p>
    <w:p>
      <w:pPr>
        <w:spacing w:line="660" w:lineRule="exact"/>
        <w:jc w:val="both"/>
        <w:rPr>
          <w:rFonts w:hint="default" w:ascii="仿宋" w:hAnsi="仿宋" w:eastAsia="仿宋" w:cs="仿宋"/>
          <w:b/>
          <w:kern w:val="44"/>
          <w:sz w:val="32"/>
          <w:szCs w:val="32"/>
        </w:rPr>
      </w:pPr>
      <w:r>
        <w:rPr>
          <w:rFonts w:ascii="仿宋" w:hAnsi="仿宋" w:eastAsia="仿宋" w:cs="仿宋"/>
          <w:b/>
          <w:kern w:val="44"/>
          <w:sz w:val="32"/>
          <w:szCs w:val="32"/>
        </w:rPr>
        <w:t xml:space="preserve"> </w:t>
      </w:r>
    </w:p>
    <w:p>
      <w:pPr>
        <w:spacing w:line="660" w:lineRule="exact"/>
        <w:ind w:firstLine="640" w:firstLineChars="200"/>
        <w:jc w:val="both"/>
        <w:rPr>
          <w:rFonts w:hint="default" w:ascii="黑体" w:eastAsia="黑体" w:cs="黑体"/>
          <w:sz w:val="32"/>
          <w:szCs w:val="32"/>
        </w:rPr>
      </w:pPr>
      <w:r>
        <w:rPr>
          <w:rFonts w:ascii="黑体" w:eastAsia="黑体" w:cs="黑体"/>
          <w:kern w:val="44"/>
          <w:sz w:val="32"/>
          <w:szCs w:val="32"/>
        </w:rPr>
        <w:t>一、</w:t>
      </w:r>
      <w:r>
        <w:rPr>
          <w:rFonts w:ascii="黑体" w:eastAsia="黑体" w:cs="黑体"/>
          <w:sz w:val="32"/>
          <w:szCs w:val="32"/>
        </w:rPr>
        <w:t>项目基本情况</w:t>
      </w:r>
    </w:p>
    <w:p>
      <w:pPr>
        <w:pStyle w:val="73"/>
        <w:topLinePunct/>
        <w:spacing w:line="560" w:lineRule="exact"/>
        <w:ind w:firstLine="640"/>
        <w:jc w:val="both"/>
        <w:rPr>
          <w:rFonts w:ascii="楷体" w:hAnsi="楷体" w:eastAsia="楷体" w:cs="楷体"/>
          <w:kern w:val="2"/>
          <w:sz w:val="32"/>
          <w:szCs w:val="32"/>
        </w:rPr>
      </w:pPr>
      <w:r>
        <w:rPr>
          <w:rFonts w:hint="eastAsia" w:ascii="楷体" w:hAnsi="楷体" w:eastAsia="楷体" w:cs="楷体"/>
          <w:kern w:val="2"/>
          <w:sz w:val="32"/>
          <w:szCs w:val="32"/>
        </w:rPr>
        <w:t>（一）项目概况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1.立项背景及目的</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十三五”时期昆明文艺事业开创新局面、蓬勃发展呈现百花齐放、生机勃勃的繁荣景象，一批文艺精品力作在国内斩获大奖，一批优秀文艺人才走向全国，一批文艺品牌在全国产生广泛影响。“本土化、多元化、特色化”的创作氛围的同时，倡导文艺新风尚，全面提升文艺工作者队伍职业道德素质，大力推进演艺领域行风建设，提高大众审美，推动文艺娱乐行业健康发展。</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聚合鲜活演艺力量，诠释优秀先锋文化。《演艺昆明》由中共昆明市委宣传部主办，昆明报业传媒集团·都市时报承办，献礼在昆明举办的《生物多样性公约》缔约方大会第十五次会议。拥有高颜值与高品质的《演艺昆明》将聚焦昆明，放眼全国，线上线下融合，深挖演艺内核，引领昆明文艺新风，打造昆明演艺先锋秀场。</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呈现国际视野、昆明大观、品质演艺的《演艺昆明》是一份有温度、有深度的演艺类月刊。同时，《演艺昆明》还将打造新媒体矩阵，以微信生态系统为主阵地，开设服务号+微视频，以及“今日头条”账号，聚焦本地行业发展、聚力主流内容生产、聚合便捷的服务功能。线上线下融合的《演艺昆明》将大力推进演艺行业发展，滋养人民的精神文化生活，为昆明文艺的百花园带来馥郁芬芳。</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演艺昆明特刊》使用简洁的四开读本设计，年轻时尚的设计风格，175克超滑面纸张的高级质感，呈现线下阵地,每期印刷3000份，预计发行13-15期（完成周期2021年10月-2022年12月）。包含演艺指引、文艺演出、文艺创作、文艺视野四大板块，从音乐、舞蹈、乐器、电影等文化艺术类别中，遴选出具有较高艺术、文化价值、演艺特色的群众文艺、精品文艺、舞台文艺，对其进行深度挖掘，让春城市民能多层次、多角度地享受多元化的文艺生活，引领昆明文艺新风，打造昆明演艺先锋秀场。</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围绕昆明市的文化文艺工作主线，聚焦本地行业发展、聚力主流内容生产、聚合便捷服务功能，以微信生态系统为主阵地，同时结合z时代用户习惯，在微信生态圈开设服务号+微视频，以及今日头条开设账号，实现内容与用户的分类分层运营。</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3.资金来源及使用情况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申请昆明市文艺精品创作专项扶持资金40万元。项目完成率100%，达到年度绩效目标。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4.组织及管理情况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包括项目组织情况、项目实施流程、资金拨付流程。</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（1）项目组织情况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《演艺昆明》多媒体平台运营建设及特刊发行项目由中共昆明市委宣传部主办，昆明报业传媒集团承办。</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（2）项目实施流程</w:t>
      </w:r>
    </w:p>
    <w:p>
      <w:pPr>
        <w:ind w:firstLine="640" w:firstLineChars="200"/>
        <w:jc w:val="both"/>
        <w:rPr>
          <w:rFonts w:hint="default" w:ascii="仿宋" w:hAnsi="仿宋" w:eastAsia="仿宋" w:cs="仿宋"/>
          <w:sz w:val="32"/>
          <w:szCs w:val="32"/>
        </w:rPr>
      </w:pPr>
      <w:r>
        <w:rPr>
          <w:rFonts w:ascii="仿宋" w:hAnsi="仿宋" w:eastAsia="仿宋" w:cs="仿宋"/>
          <w:sz w:val="32"/>
          <w:szCs w:val="32"/>
        </w:rPr>
        <w:t>《演艺昆明》特刊全年计划发行13-14期，每月10日进行每月3日前召开策划会，围绕栏目定位对 内容进行梳理，确定重点选题。安排记者采访；每月15日截稿；每月15日-20日为编辑排版、校对、终审阶段；每月20日左右进厂印刷，28日前完成印刷，进入投递发行阶段。</w:t>
      </w:r>
    </w:p>
    <w:p>
      <w:pPr>
        <w:pStyle w:val="2"/>
        <w:ind w:firstLine="640"/>
        <w:rPr>
          <w:rFonts w:ascii="仿宋" w:hAnsi="仿宋" w:eastAsia="仿宋" w:cs="仿宋"/>
          <w:sz w:val="32"/>
          <w:szCs w:val="32"/>
        </w:rPr>
      </w:pPr>
      <w:r>
        <w:rPr>
          <w:rFonts w:hint="eastAsia" w:ascii="仿宋" w:hAnsi="仿宋" w:eastAsia="仿宋" w:cs="仿宋"/>
          <w:sz w:val="32"/>
          <w:szCs w:val="32"/>
        </w:rPr>
        <w:t>《演艺昆明》微信公众号每周一推，内容生产方面与线下产品相辅相成，更加注重内容的时效性、完整性与互动性，视频号每周一更，其他平台随时更新。</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（3）资金拨付流程：</w:t>
      </w:r>
    </w:p>
    <w:p>
      <w:pPr>
        <w:pStyle w:val="2"/>
        <w:ind w:firstLine="640"/>
        <w:rPr>
          <w:rFonts w:ascii="仿宋" w:hAnsi="仿宋" w:eastAsia="仿宋" w:cs="仿宋"/>
          <w:sz w:val="32"/>
          <w:szCs w:val="32"/>
        </w:rPr>
      </w:pPr>
      <w:r>
        <w:rPr>
          <w:rFonts w:hint="eastAsia" w:ascii="仿宋" w:hAnsi="仿宋" w:eastAsia="仿宋" w:cs="仿宋"/>
          <w:sz w:val="32"/>
          <w:szCs w:val="32"/>
        </w:rPr>
        <w:t>项目经费40万，经过2022年初预算、执行、跟踪及决算等流程，资金已全部拨付到位。截至2022年12月，全部资金已执行完毕，执行金额40万元，执行完成率100%。</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1.总目标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近年来，昆明文艺事业开创新局面、蓬勃发展呈现百花齐放、生机勃勃的繁荣景象，一批文艺精品力作在国内斩获大奖，一批优秀文艺人才走向全国，一批文艺品牌在全国产生广泛影响。</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演艺昆明》多媒体平台运营建设及特刊发行项目围绕“本土化、多元化、特色化”的主题，结合线上新媒体平台、线下特刊等相关宣传活动，倡导文艺新风尚，全面提升文艺工作者队伍职业道德素质，大力推进演艺领域行风建设，提高大众审美，推动文艺娱乐行业健康发展。</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2.年度目标</w:t>
      </w:r>
    </w:p>
    <w:p>
      <w:pPr>
        <w:topLinePunct/>
        <w:spacing w:line="560" w:lineRule="exact"/>
        <w:ind w:firstLine="640" w:firstLineChars="200"/>
        <w:jc w:val="both"/>
        <w:rPr>
          <w:rFonts w:hint="default" w:ascii="仿宋" w:hAnsi="仿宋" w:eastAsia="仿宋" w:cs="仿宋"/>
        </w:rPr>
      </w:pPr>
      <w:r>
        <w:rPr>
          <w:rFonts w:ascii="仿宋" w:hAnsi="仿宋" w:eastAsia="仿宋" w:cs="仿宋"/>
          <w:sz w:val="32"/>
          <w:szCs w:val="32"/>
        </w:rPr>
        <w:t>《演艺昆明》多媒体平台运营建设及特刊发行项目计划在今年内完成预定的特刊采编、印刷和发行。在新媒体平台上完成预定的更新、维护工作。深入解读何为“精‘艺’求精”，全方位、系统化、多角度、有影响的对昆明市文艺领域发展进行集中展示。为各级政府领导、行业企业提供决策参考，提供文化供给、文化消费、文艺演出、文艺精品创作新趋势及动态观察、行业解读，为本地文艺领域发展提供新思路，挖掘和推荐优秀案例，搭建政府与行业、政府与企业、企业与企业、企业与个体之间有效的信息传播通道，为政府部门、业界人士提供了较好的引导和服务。</w:t>
      </w:r>
    </w:p>
    <w:p>
      <w:pPr>
        <w:topLinePunct/>
        <w:spacing w:line="560" w:lineRule="exact"/>
        <w:ind w:firstLine="640" w:firstLineChars="200"/>
        <w:jc w:val="both"/>
        <w:rPr>
          <w:rFonts w:hint="default" w:ascii="黑体" w:eastAsia="黑体" w:cs="黑体"/>
          <w:sz w:val="32"/>
          <w:szCs w:val="32"/>
        </w:rPr>
      </w:pPr>
      <w:r>
        <w:rPr>
          <w:rFonts w:ascii="黑体" w:eastAsia="黑体" w:cs="黑体"/>
          <w:sz w:val="32"/>
          <w:szCs w:val="32"/>
        </w:rPr>
        <w:t>二、绩效评价工作情况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（一）绩效评价目的</w:t>
      </w:r>
    </w:p>
    <w:p>
      <w:pPr>
        <w:snapToGrid w:val="0"/>
        <w:spacing w:line="600" w:lineRule="exact"/>
        <w:ind w:firstLine="640" w:firstLineChars="200"/>
        <w:jc w:val="both"/>
        <w:rPr>
          <w:rFonts w:hint="default" w:ascii="仿宋_GB2312" w:eastAsia="仿宋_GB2312" w:cs="仿宋_GB2312"/>
          <w:sz w:val="32"/>
          <w:szCs w:val="32"/>
        </w:rPr>
      </w:pPr>
      <w:r>
        <w:rPr>
          <w:rFonts w:ascii="仿宋" w:hAnsi="仿宋" w:eastAsia="仿宋" w:cs="仿宋"/>
          <w:sz w:val="32"/>
          <w:szCs w:val="32"/>
        </w:rPr>
        <w:t>通过本次绩效评价，全面了解项目决策、过程、产出和效益等情况，评价财政资金使用绩效，找出存在的问题和原因，提出建设性意见建议，进一步规范资金分配和使用，并将绩效评价结果作为编报下年预算、改进加强管理、完善政策的重要依据，进一步提高资金使用效益。</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（二）绩效评价工作方案制定过程</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1.前期调研</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调研,对相关文件的解读，根据绩效评价的基本原理、原则和项目特点，结合绩效目标，由绩效评价小组按确定的评价指标体系、评分标准、评价方法和相关的工作程序和步骤，在规定的时间节点内开展绩效评价工作。</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2.绩效评价指标体系及工作方案的设计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绩效评价证据收集方法包括了研究、分析项目预算部门提供的相关文件；整理、汇总项目预算单位提供的项目资料、工作总结和合同；根据预算部门提供的基础数据表逐项进行核实。根据上述方法，从项目的立项合理性，目标的明确性，预算的准确性和管理制度的合规性等方面，对评价对象进行绩效评价。</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（三）绩效评价原则、评价方法</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(1)科学规范。绩效评价注重财政支出的经济性、效率性和有效性，严格执行规定的程序，采用定量与定性分析相结合的方法。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(2)公正公开。绩效评价客观、公正，标准统一、资料可靠，依法公开。</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(3)绩效相关。绩效评价针对具体支出及其产出绩效进行评价,结果清晰反映支出和产出绩效之间的紧密对应关系。</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本次主要采用因素分析法，采取数据对比，标准和抽样调查相结合，同时辅以问卷抽查、资料研究等方法。</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（四）绩效评价实施过程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中华人民共和国预算法》《昆明市预算绩效管理暂行办法》（昆政办〔2013〕129号）等有关规定，结合部门职能职责，对照项目目标和实际完成情况，由单位分管领导牵头，各项目实施部门具体负责项目评价工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绩效评价围绕绩效目标的设定、资金投入和使用、为实现绩效目标制定的制度、采取的措施、绩效目标的实现程度及效果等方面内容开展自评。</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（五）本次绩效评价的局限性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本次项目评价由具体执行部门进行，依靠财政等有关部门和单位的指导，评价专业性不够，具有一定的局限性。</w:t>
      </w:r>
    </w:p>
    <w:p>
      <w:pPr>
        <w:widowControl w:val="0"/>
        <w:numPr>
          <w:ilvl w:val="0"/>
          <w:numId w:val="1"/>
        </w:numPr>
        <w:topLinePunct/>
        <w:spacing w:line="560" w:lineRule="exact"/>
        <w:ind w:firstLine="800" w:firstLineChars="250"/>
        <w:jc w:val="both"/>
        <w:rPr>
          <w:rFonts w:hint="default" w:ascii="黑体" w:eastAsia="黑体" w:cs="黑体"/>
          <w:sz w:val="32"/>
          <w:szCs w:val="32"/>
        </w:rPr>
      </w:pPr>
      <w:r>
        <w:rPr>
          <w:rFonts w:ascii="黑体" w:eastAsia="黑体" w:cs="黑体"/>
          <w:sz w:val="32"/>
          <w:szCs w:val="32"/>
        </w:rPr>
        <w:t>评价结论和绩效分析</w:t>
      </w:r>
    </w:p>
    <w:p>
      <w:pPr>
        <w:topLinePunct/>
        <w:spacing w:line="56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（一）评价结论</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项目绩效目标根据部门绩效目标制定，真实有效地反映了部门的职能，并且绩效可考核。项目资金使用有效合理，有严格的财务及内控制度把关，没有超出预算范围使用的情况发生。项目绩效指标及时完成并且完成情况良好。</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完成《演艺昆明》特刊采编、制作及发行13-14期，建设运营3个线上平台，策划组织14个宣传活动。各现场平台按时按质按量完成推送，线上平台累计浏览量约20万人，特刊读者数量约3万余人，影响力逐步提升。</w:t>
      </w:r>
    </w:p>
    <w:p>
      <w:pPr>
        <w:topLinePunct/>
        <w:spacing w:line="44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（二）具体绩效分析</w:t>
      </w:r>
    </w:p>
    <w:tbl>
      <w:tblPr>
        <w:tblStyle w:val="16"/>
        <w:tblW w:w="0" w:type="auto"/>
        <w:tblInd w:w="0" w:type="dxa"/>
        <w:tblLayout w:type="fixed"/>
        <w:tblCellMar>
          <w:top w:w="0" w:type="dxa"/>
          <w:left w:w="108" w:type="dxa"/>
          <w:bottom w:w="0" w:type="dxa"/>
          <w:right w:w="108" w:type="dxa"/>
        </w:tblCellMar>
      </w:tblPr>
      <w:tblGrid>
        <w:gridCol w:w="436"/>
        <w:gridCol w:w="1006"/>
        <w:gridCol w:w="1149"/>
        <w:gridCol w:w="3222"/>
        <w:gridCol w:w="1391"/>
        <w:gridCol w:w="1318"/>
      </w:tblGrid>
      <w:tr>
        <w:tblPrEx>
          <w:tblCellMar>
            <w:top w:w="0" w:type="dxa"/>
            <w:left w:w="108" w:type="dxa"/>
            <w:bottom w:w="0" w:type="dxa"/>
            <w:right w:w="108" w:type="dxa"/>
          </w:tblCellMar>
        </w:tblPrEx>
        <w:trPr>
          <w:trHeight w:val="112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绩</w:t>
            </w:r>
            <w:r>
              <w:rPr>
                <w:rFonts w:cs="宋体"/>
                <w:sz w:val="22"/>
                <w:szCs w:val="22"/>
              </w:rPr>
              <w:br w:type="textWrapping"/>
            </w:r>
            <w:r>
              <w:rPr>
                <w:rFonts w:cs="宋体"/>
                <w:sz w:val="22"/>
                <w:szCs w:val="22"/>
              </w:rPr>
              <w:t>效</w:t>
            </w:r>
            <w:r>
              <w:rPr>
                <w:rFonts w:cs="宋体"/>
                <w:sz w:val="22"/>
                <w:szCs w:val="22"/>
              </w:rPr>
              <w:br w:type="textWrapping"/>
            </w:r>
            <w:r>
              <w:rPr>
                <w:rFonts w:cs="宋体"/>
                <w:sz w:val="22"/>
                <w:szCs w:val="22"/>
              </w:rPr>
              <w:t>指</w:t>
            </w:r>
            <w:r>
              <w:rPr>
                <w:rFonts w:cs="宋体"/>
                <w:sz w:val="22"/>
                <w:szCs w:val="22"/>
              </w:rPr>
              <w:br w:type="textWrapping"/>
            </w:r>
            <w:r>
              <w:rPr>
                <w:rFonts w:cs="宋体"/>
                <w:sz w:val="22"/>
                <w:szCs w:val="22"/>
              </w:rPr>
              <w:t>标</w:t>
            </w:r>
          </w:p>
        </w:tc>
        <w:tc>
          <w:tcPr>
            <w:tcW w:w="100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0"/>
                <w:szCs w:val="20"/>
              </w:rPr>
            </w:pPr>
            <w:r>
              <w:rPr>
                <w:rFonts w:cs="宋体"/>
                <w:sz w:val="20"/>
                <w:szCs w:val="20"/>
              </w:rPr>
              <w:t>一级</w:t>
            </w:r>
            <w:r>
              <w:rPr>
                <w:rFonts w:cs="宋体"/>
                <w:sz w:val="20"/>
                <w:szCs w:val="20"/>
              </w:rPr>
              <w:br w:type="textWrapping"/>
            </w:r>
            <w:r>
              <w:rPr>
                <w:rFonts w:cs="宋体"/>
                <w:sz w:val="20"/>
                <w:szCs w:val="20"/>
              </w:rPr>
              <w:t>指标</w:t>
            </w:r>
          </w:p>
        </w:tc>
        <w:tc>
          <w:tcPr>
            <w:tcW w:w="1149"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二级指标</w:t>
            </w: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三级指标</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指标值</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评价</w:t>
            </w:r>
          </w:p>
        </w:tc>
      </w:tr>
      <w:tr>
        <w:tblPrEx>
          <w:tblCellMar>
            <w:top w:w="0" w:type="dxa"/>
            <w:left w:w="108" w:type="dxa"/>
            <w:bottom w:w="0" w:type="dxa"/>
            <w:right w:w="108" w:type="dxa"/>
          </w:tblCellMar>
        </w:tblPrEx>
        <w:trPr>
          <w:trHeight w:val="8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产</w:t>
            </w:r>
            <w:r>
              <w:rPr>
                <w:rFonts w:cs="宋体"/>
                <w:sz w:val="22"/>
                <w:szCs w:val="22"/>
              </w:rPr>
              <w:br w:type="textWrapping"/>
            </w:r>
            <w:r>
              <w:rPr>
                <w:rFonts w:cs="宋体"/>
                <w:sz w:val="22"/>
                <w:szCs w:val="22"/>
              </w:rPr>
              <w:t>出</w:t>
            </w:r>
            <w:r>
              <w:rPr>
                <w:rFonts w:cs="宋体"/>
                <w:sz w:val="22"/>
                <w:szCs w:val="22"/>
              </w:rPr>
              <w:br w:type="textWrapping"/>
            </w:r>
            <w:r>
              <w:rPr>
                <w:rFonts w:cs="宋体"/>
                <w:sz w:val="22"/>
                <w:szCs w:val="22"/>
              </w:rPr>
              <w:t>指</w:t>
            </w:r>
            <w:r>
              <w:rPr>
                <w:rFonts w:cs="宋体"/>
                <w:sz w:val="22"/>
                <w:szCs w:val="22"/>
              </w:rPr>
              <w:br w:type="textWrapping"/>
            </w:r>
            <w:r>
              <w:rPr>
                <w:rFonts w:cs="宋体"/>
                <w:sz w:val="22"/>
                <w:szCs w:val="22"/>
              </w:rPr>
              <w:t>标</w:t>
            </w:r>
          </w:p>
        </w:tc>
        <w:tc>
          <w:tcPr>
            <w:tcW w:w="1149" w:type="dxa"/>
            <w:vMerge w:val="restart"/>
            <w:tcBorders>
              <w:top w:val="nil"/>
              <w:left w:val="nil"/>
              <w:bottom w:val="nil"/>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数量指标</w:t>
            </w: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《演艺昆明》特刊采编、制作及发行</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13-14期</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13期</w:t>
            </w:r>
          </w:p>
        </w:tc>
      </w:tr>
      <w:tr>
        <w:tblPrEx>
          <w:tblCellMar>
            <w:top w:w="0" w:type="dxa"/>
            <w:left w:w="108" w:type="dxa"/>
            <w:bottom w:w="0" w:type="dxa"/>
            <w:right w:w="108" w:type="dxa"/>
          </w:tblCellMar>
        </w:tblPrEx>
        <w:trPr>
          <w:trHeight w:val="8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149" w:type="dxa"/>
            <w:vMerge w:val="continue"/>
            <w:tcBorders>
              <w:top w:val="nil"/>
              <w:left w:val="nil"/>
              <w:bottom w:val="nil"/>
              <w:right w:val="single" w:color="000000" w:sz="4" w:space="0"/>
            </w:tcBorders>
            <w:shd w:val="clear" w:color="auto" w:fill="auto"/>
            <w:vAlign w:val="center"/>
          </w:tcPr>
          <w:p>
            <w:pPr>
              <w:rPr>
                <w:rFonts w:hint="default" w:ascii="Times New Roman" w:hAnsi="Times New Roman"/>
                <w:sz w:val="20"/>
                <w:szCs w:val="20"/>
              </w:rPr>
            </w:pP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《演艺昆明》多媒体平台建设运营</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≧3个线上平台</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3个线上平台</w:t>
            </w:r>
          </w:p>
        </w:tc>
      </w:tr>
      <w:tr>
        <w:tblPrEx>
          <w:tblCellMar>
            <w:top w:w="0" w:type="dxa"/>
            <w:left w:w="108" w:type="dxa"/>
            <w:bottom w:w="0" w:type="dxa"/>
            <w:right w:w="108" w:type="dxa"/>
          </w:tblCellMar>
        </w:tblPrEx>
        <w:trPr>
          <w:trHeight w:val="8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149" w:type="dxa"/>
            <w:vMerge w:val="continue"/>
            <w:tcBorders>
              <w:top w:val="nil"/>
              <w:left w:val="nil"/>
              <w:bottom w:val="nil"/>
              <w:right w:val="single" w:color="000000" w:sz="4" w:space="0"/>
            </w:tcBorders>
            <w:shd w:val="clear" w:color="auto" w:fill="auto"/>
            <w:vAlign w:val="center"/>
          </w:tcPr>
          <w:p>
            <w:pPr>
              <w:rPr>
                <w:rFonts w:hint="default" w:ascii="Times New Roman" w:hAnsi="Times New Roman"/>
                <w:sz w:val="20"/>
                <w:szCs w:val="20"/>
              </w:rPr>
            </w:pP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《演艺昆明》宣传活动数量</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≧10个</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14个</w:t>
            </w:r>
          </w:p>
        </w:tc>
      </w:tr>
      <w:tr>
        <w:tblPrEx>
          <w:tblCellMar>
            <w:top w:w="0" w:type="dxa"/>
            <w:left w:w="108" w:type="dxa"/>
            <w:bottom w:w="0" w:type="dxa"/>
            <w:right w:w="108" w:type="dxa"/>
          </w:tblCellMar>
        </w:tblPrEx>
        <w:trPr>
          <w:trHeight w:val="8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149" w:type="dxa"/>
            <w:vMerge w:val="restart"/>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质量指标</w:t>
            </w: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《演艺昆明》微信服务号运营推送完成率</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≧90%</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100%</w:t>
            </w:r>
          </w:p>
        </w:tc>
      </w:tr>
      <w:tr>
        <w:tblPrEx>
          <w:tblCellMar>
            <w:top w:w="0" w:type="dxa"/>
            <w:left w:w="108" w:type="dxa"/>
            <w:bottom w:w="0" w:type="dxa"/>
            <w:right w:w="108" w:type="dxa"/>
          </w:tblCellMar>
        </w:tblPrEx>
        <w:trPr>
          <w:trHeight w:val="8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149" w:type="dxa"/>
            <w:vMerge w:val="continue"/>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《演艺昆明》视频号运营推送完成率</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≧90%</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100%</w:t>
            </w:r>
          </w:p>
        </w:tc>
      </w:tr>
      <w:tr>
        <w:tblPrEx>
          <w:tblCellMar>
            <w:top w:w="0" w:type="dxa"/>
            <w:left w:w="108" w:type="dxa"/>
            <w:bottom w:w="0" w:type="dxa"/>
            <w:right w:w="108" w:type="dxa"/>
          </w:tblCellMar>
        </w:tblPrEx>
        <w:trPr>
          <w:trHeight w:val="8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149" w:type="dxa"/>
            <w:vMerge w:val="continue"/>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《演艺昆明》今日头条号推送完成率</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≧90%</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100%</w:t>
            </w:r>
          </w:p>
        </w:tc>
      </w:tr>
      <w:tr>
        <w:tblPrEx>
          <w:tblCellMar>
            <w:top w:w="0" w:type="dxa"/>
            <w:left w:w="108" w:type="dxa"/>
            <w:bottom w:w="0" w:type="dxa"/>
            <w:right w:w="108" w:type="dxa"/>
          </w:tblCellMar>
        </w:tblPrEx>
        <w:trPr>
          <w:trHeight w:val="8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149" w:type="dxa"/>
            <w:vMerge w:val="continue"/>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《演艺昆明》特刊采编、制作以及发行完成率</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≧90%</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100%</w:t>
            </w:r>
          </w:p>
        </w:tc>
      </w:tr>
      <w:tr>
        <w:tblPrEx>
          <w:tblCellMar>
            <w:top w:w="0" w:type="dxa"/>
            <w:left w:w="108" w:type="dxa"/>
            <w:bottom w:w="0" w:type="dxa"/>
            <w:right w:w="108" w:type="dxa"/>
          </w:tblCellMar>
        </w:tblPrEx>
        <w:trPr>
          <w:trHeight w:val="8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149"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成本指标</w:t>
            </w: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项目预算控制数</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≦40万元</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40万元</w:t>
            </w:r>
          </w:p>
        </w:tc>
      </w:tr>
      <w:tr>
        <w:tblPrEx>
          <w:tblCellMar>
            <w:top w:w="0" w:type="dxa"/>
            <w:left w:w="108" w:type="dxa"/>
            <w:bottom w:w="0" w:type="dxa"/>
            <w:right w:w="108" w:type="dxa"/>
          </w:tblCellMar>
        </w:tblPrEx>
        <w:trPr>
          <w:trHeight w:val="105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效</w:t>
            </w:r>
            <w:r>
              <w:rPr>
                <w:rFonts w:cs="宋体"/>
                <w:sz w:val="22"/>
                <w:szCs w:val="22"/>
              </w:rPr>
              <w:br w:type="textWrapping"/>
            </w:r>
            <w:r>
              <w:rPr>
                <w:rFonts w:cs="宋体"/>
                <w:sz w:val="22"/>
                <w:szCs w:val="22"/>
              </w:rPr>
              <w:t>益</w:t>
            </w:r>
            <w:r>
              <w:rPr>
                <w:rFonts w:cs="宋体"/>
                <w:sz w:val="22"/>
                <w:szCs w:val="22"/>
              </w:rPr>
              <w:br w:type="textWrapping"/>
            </w:r>
            <w:r>
              <w:rPr>
                <w:rFonts w:cs="宋体"/>
                <w:sz w:val="22"/>
                <w:szCs w:val="22"/>
              </w:rPr>
              <w:t>指</w:t>
            </w:r>
            <w:r>
              <w:rPr>
                <w:rFonts w:cs="宋体"/>
                <w:sz w:val="22"/>
                <w:szCs w:val="22"/>
              </w:rPr>
              <w:br w:type="textWrapping"/>
            </w:r>
            <w:r>
              <w:rPr>
                <w:rFonts w:cs="宋体"/>
                <w:sz w:val="22"/>
                <w:szCs w:val="22"/>
              </w:rPr>
              <w:t>标</w:t>
            </w:r>
          </w:p>
        </w:tc>
        <w:tc>
          <w:tcPr>
            <w:tcW w:w="1149"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社会效益指标</w:t>
            </w: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《演艺昆明》线上平台累计浏览量</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≧10万余人次</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约20万余人次</w:t>
            </w:r>
          </w:p>
        </w:tc>
      </w:tr>
      <w:tr>
        <w:tblPrEx>
          <w:tblCellMar>
            <w:top w:w="0" w:type="dxa"/>
            <w:left w:w="108" w:type="dxa"/>
            <w:bottom w:w="0" w:type="dxa"/>
            <w:right w:w="108" w:type="dxa"/>
          </w:tblCellMar>
        </w:tblPrEx>
        <w:trPr>
          <w:trHeight w:val="825"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149"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《演艺昆明》特刊读者数量</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≧1万余人次</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约3万人次</w:t>
            </w:r>
          </w:p>
        </w:tc>
      </w:tr>
      <w:tr>
        <w:tblPrEx>
          <w:tblCellMar>
            <w:top w:w="0" w:type="dxa"/>
            <w:left w:w="108" w:type="dxa"/>
            <w:bottom w:w="0" w:type="dxa"/>
            <w:right w:w="108" w:type="dxa"/>
          </w:tblCellMar>
        </w:tblPrEx>
        <w:trPr>
          <w:trHeight w:val="825"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149"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社会影响力</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逐步提升</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逐步提升</w:t>
            </w:r>
          </w:p>
        </w:tc>
      </w:tr>
      <w:tr>
        <w:tblPrEx>
          <w:tblCellMar>
            <w:top w:w="0" w:type="dxa"/>
            <w:left w:w="108" w:type="dxa"/>
            <w:bottom w:w="0" w:type="dxa"/>
            <w:right w:w="108" w:type="dxa"/>
          </w:tblCellMar>
        </w:tblPrEx>
        <w:trPr>
          <w:trHeight w:val="825"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00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满意度指标</w:t>
            </w:r>
          </w:p>
        </w:tc>
        <w:tc>
          <w:tcPr>
            <w:tcW w:w="1149"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服务对象</w:t>
            </w:r>
            <w:r>
              <w:rPr>
                <w:rFonts w:cs="宋体"/>
                <w:sz w:val="22"/>
                <w:szCs w:val="22"/>
              </w:rPr>
              <w:br w:type="textWrapping"/>
            </w:r>
            <w:r>
              <w:rPr>
                <w:rFonts w:cs="宋体"/>
                <w:sz w:val="22"/>
                <w:szCs w:val="22"/>
              </w:rPr>
              <w:t>满意度指标</w:t>
            </w:r>
          </w:p>
        </w:tc>
        <w:tc>
          <w:tcPr>
            <w:tcW w:w="32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读者、公众满意度</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≧95%</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95%</w:t>
            </w:r>
          </w:p>
        </w:tc>
      </w:tr>
    </w:tbl>
    <w:p>
      <w:pPr>
        <w:topLinePunct/>
        <w:spacing w:line="440" w:lineRule="exact"/>
        <w:ind w:firstLine="640" w:firstLineChars="200"/>
        <w:jc w:val="both"/>
        <w:rPr>
          <w:rFonts w:hint="default" w:ascii="黑体" w:eastAsia="黑体" w:cs="黑体"/>
          <w:sz w:val="32"/>
          <w:szCs w:val="32"/>
        </w:rPr>
      </w:pPr>
      <w:r>
        <w:rPr>
          <w:rFonts w:ascii="黑体" w:eastAsia="黑体" w:cs="黑体"/>
          <w:sz w:val="32"/>
          <w:szCs w:val="32"/>
        </w:rPr>
        <w:t>四、成本效益分析</w:t>
      </w:r>
    </w:p>
    <w:p>
      <w:pPr>
        <w:spacing w:line="4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对资金使用方向、资金收入和支出结构；项目和资金管理情况；资金的节约性、资金使用效果；变化趋势等进行分析评价。</w:t>
      </w:r>
    </w:p>
    <w:p>
      <w:pPr>
        <w:spacing w:line="4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1.经济性分析：2022年1月至12月，财政专项拨款40万，项目完成比率100%，资金支付100%，完成年度绩效目标。</w:t>
      </w:r>
    </w:p>
    <w:p>
      <w:pPr>
        <w:spacing w:line="4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2.效益分析：通过本项目的实施,展现了昆明在文艺精品、文艺建设等方面取得的成就，进一步提升了昆明城市品牌的知名度和影响力，并为各级领导和相关部门提供了参考。</w:t>
      </w:r>
    </w:p>
    <w:p>
      <w:pPr>
        <w:spacing w:line="4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3.服务对象满意度：根据本项目的具体实施及执行情况，对服务对象进行走访调查，总体满意度95%以上。</w:t>
      </w:r>
    </w:p>
    <w:p>
      <w:pPr>
        <w:spacing w:line="460" w:lineRule="exact"/>
        <w:ind w:firstLine="640" w:firstLineChars="200"/>
        <w:jc w:val="both"/>
        <w:rPr>
          <w:rFonts w:hint="default" w:ascii="黑体" w:eastAsia="黑体" w:cs="黑体"/>
          <w:sz w:val="32"/>
          <w:szCs w:val="32"/>
        </w:rPr>
      </w:pPr>
      <w:r>
        <w:rPr>
          <w:rFonts w:ascii="黑体" w:eastAsia="黑体" w:cs="黑体"/>
          <w:sz w:val="32"/>
          <w:szCs w:val="32"/>
        </w:rPr>
        <w:t>五、主要经验及做法、存在的问题和建议</w:t>
      </w:r>
    </w:p>
    <w:p>
      <w:pPr>
        <w:spacing w:line="4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（一）主要经验及做法</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要构建“预算绩效有评估、预算编制有目标、预算执行有监控、预算完成有评价、评价结果有反馈、反馈结果有应用”的“全过程”绩效管理。开展支出预算事前绩效评估，进行重点项目绩效目标跟踪监控和事后评价，才能紧密围绕项目绩效管理推进各项工作开展。</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（二）存在的问题</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项目组成员对绩效评价认知不足，专业能力有待进一步加强。</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（三）建议和改进措施</w:t>
      </w:r>
    </w:p>
    <w:p>
      <w:pPr>
        <w:topLinePunct/>
        <w:spacing w:line="560" w:lineRule="exact"/>
        <w:ind w:firstLine="640" w:firstLineChars="200"/>
        <w:jc w:val="both"/>
        <w:rPr>
          <w:rFonts w:hint="default" w:ascii="仿宋_GB2312" w:eastAsia="仿宋_GB2312" w:cs="仿宋_GB2312"/>
          <w:sz w:val="32"/>
          <w:szCs w:val="32"/>
        </w:rPr>
      </w:pPr>
      <w:r>
        <w:rPr>
          <w:rFonts w:ascii="仿宋" w:hAnsi="仿宋" w:eastAsia="仿宋" w:cs="仿宋"/>
          <w:sz w:val="32"/>
          <w:szCs w:val="32"/>
        </w:rPr>
        <w:t>2023年，将按照财政预算安排编制项目支出绩效目标，科学有序地进行绩效测算，同时进一步加强项目管理，积极与市级相关部门对接，牢固树立绩效管理理念。</w:t>
      </w:r>
    </w:p>
    <w:p>
      <w:pPr>
        <w:rPr>
          <w:rFonts w:hint="default" w:cs="宋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0" w:num="1"/>
          <w:docGrid w:type="lines" w:linePitch="312" w:charSpace="0"/>
        </w:sectPr>
      </w:pPr>
    </w:p>
    <w:p>
      <w:pPr>
        <w:jc w:val="both"/>
        <w:rPr>
          <w:rFonts w:hint="default" w:ascii="方正小标宋简体" w:hAnsi="方正小标宋简体" w:eastAsia="方正小标宋简体" w:cs="方正小标宋简体"/>
          <w:sz w:val="44"/>
          <w:szCs w:val="44"/>
        </w:rPr>
      </w:pPr>
      <w:r>
        <w:rPr>
          <w:rFonts w:cs="宋体"/>
          <w:sz w:val="32"/>
          <w:szCs w:val="32"/>
        </w:rPr>
        <w:t>项目九：</w:t>
      </w:r>
    </w:p>
    <w:p>
      <w:pPr>
        <w:spacing w:line="600" w:lineRule="exact"/>
        <w:jc w:val="center"/>
        <w:rPr>
          <w:rFonts w:hint="default" w:ascii="方正小标宋简体" w:hAnsi="方正小标宋简体" w:cs="宋体"/>
          <w:sz w:val="44"/>
          <w:szCs w:val="44"/>
        </w:rPr>
      </w:pPr>
      <w:r>
        <w:rPr>
          <w:rFonts w:cs="宋体"/>
          <w:sz w:val="44"/>
          <w:szCs w:val="44"/>
        </w:rPr>
        <w:t>昆明市</w:t>
      </w:r>
      <w:r>
        <w:rPr>
          <w:rFonts w:ascii="方正小标宋简体" w:hAnsi="方正小标宋简体" w:eastAsia="方正小标宋简体" w:cs="方正小标宋简体"/>
          <w:sz w:val="44"/>
          <w:szCs w:val="44"/>
        </w:rPr>
        <w:t>“</w:t>
      </w:r>
      <w:r>
        <w:rPr>
          <w:rFonts w:cs="宋体"/>
          <w:sz w:val="44"/>
          <w:szCs w:val="44"/>
        </w:rPr>
        <w:t>当好排头兵</w:t>
      </w:r>
      <w:r>
        <w:rPr>
          <w:rFonts w:ascii="方正小标宋简体" w:hAnsi="方正小标宋简体" w:eastAsia="方正小标宋简体" w:cs="方正小标宋简体"/>
          <w:sz w:val="44"/>
          <w:szCs w:val="44"/>
        </w:rPr>
        <w:t>”</w:t>
      </w:r>
      <w:r>
        <w:rPr>
          <w:rFonts w:cs="宋体"/>
          <w:sz w:val="44"/>
          <w:szCs w:val="44"/>
        </w:rPr>
        <w:t>大竞赛活动</w:t>
      </w:r>
    </w:p>
    <w:p>
      <w:pPr>
        <w:spacing w:line="600" w:lineRule="exact"/>
        <w:jc w:val="center"/>
        <w:rPr>
          <w:rFonts w:hint="default" w:ascii="方正小标宋简体" w:hAnsi="方正小标宋简体" w:eastAsia="方正小标宋简体" w:cs="方正小标宋简体"/>
          <w:sz w:val="44"/>
          <w:szCs w:val="44"/>
        </w:rPr>
      </w:pPr>
      <w:r>
        <w:rPr>
          <w:rFonts w:cs="宋体"/>
          <w:sz w:val="44"/>
          <w:szCs w:val="44"/>
        </w:rPr>
        <w:t>展陈布展项目支出绩效自评报告</w:t>
      </w:r>
    </w:p>
    <w:p>
      <w:pPr>
        <w:topLinePunct/>
        <w:spacing w:line="440" w:lineRule="exact"/>
        <w:ind w:firstLine="600" w:firstLineChars="250"/>
        <w:jc w:val="both"/>
        <w:rPr>
          <w:rFonts w:hint="default" w:ascii="黑体" w:eastAsia="黑体" w:cs="黑体"/>
        </w:rPr>
      </w:pPr>
      <w:r>
        <w:rPr>
          <w:rFonts w:ascii="黑体" w:eastAsia="黑体" w:cs="黑体"/>
        </w:rPr>
        <w:t xml:space="preserve"> </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一、项目基本情况</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（一）项目概况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1.立项背景及目的</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立项背景：为深入学习贯彻习近平总书记考察云南重要讲话精神，认真落实省委、省政府对昆明当好全省经济社会发展排头兵的重要部署，市委、市政府决定在全市开展“当好排头兵”大讨论大竞赛活动。昆明日报社根据中共昆明市委办公室、昆明市人民政府办公室关于印发《昆明市开展“当好排头兵”大竞赛活动实施方案》的通知，重点围绕产业强省建设、一流营商环境建设、创新发展和改革开放、城市建设管理、坚持人民至上增进民生福祉、激励干部队伍干事创业激情等六个方面，负责做好昆明市“当好排头兵”大竞赛活动“晒成绩”展陈布展等工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目的：坚持以习近平新时代中国特色社会主义思想为指导，全面贯彻落实党的十九大和十九届历次全会精神，深入学习贯彻习近平总书记考察云南重要讲话精神，认真贯彻落实省第十一次党代会和市第十二次党代会、市委十二届二次全会精神，突出问题导向、目标导向、结果导向，在学习讨论中统一思想、找准症结、提振精神，在比武竞赛中激发干劲、奋发攻坚、争创一流，激励全市广大党员干部惊醒起来、振作起来、行动起来，进一步增强实干精神、表率意识，深入推进作风革命、效能革命，重点围绕产业强省建设、一流营商环境建设、创新发展和改革开放、城市建设管理、坚持人民至上增进民生福祉、激励干部队伍干事创业激情“六个方面”当好全省排头兵，奋力推动高质量发展，以优异成绩迎接党的二十大胜利召开。</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昆明市“当好排头兵”大竞赛活动“晒成绩”展陈布展围绕“六个方面”当好排头兵的重要部署，聚焦产业发展、营商环境建设、创新发展和改革开放、城市建设管理、增进民生福祉，突出产业发展、招商引资、项目建设，量化、细化具体工作指标，以图文结合的形式，分类别、分层次展示全市每个季度大竞赛成绩。通过大竞赛“晒成绩”的方式，传导压力、学习先进、督促后进、激发干劲，带动全市党员干部拿出超常的干劲、举措、力度，大抓产业发展、大抓营商环境、大抓市场主体、大抓改革开放、大抓创新发展、大抓绿色发展，形成比学赶超的良好氛围，全面推动经济社会高质量发展。</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3.资金来源及使用情况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该项目资金来源于财政项目工作经费，共计34.8万元。截至2022年底，所有项目经费已投入到活动举办的各项工作中。</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4.组织及管理情况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项目组织情况：在市委宣传部、市委办、市政府办的指导下，昆明日报社根据《昆明市开展“当好排头兵” 大竞赛活动实施方案》《“当好排头兵”大竞赛活动第一季度考评成绩展示工作任务清单》等要求，全力以赴，加班加点做好昆明市“当好排头兵”大竞赛活动“晒成绩”展陈布展等工作，具体包括全案整体概念创意设计及文案全体系创作、展陈布展撤展等。</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实施流程：2022年4月，昆明日报社成立临时工作组，通过招投标、采购（急需）等程序，负责做好昆明市“当好排头兵”大竞赛活动“晒成绩”展陈布展等工作内容。展陈布展工作分三个季度开展，每个季度展陈布展工作具体包括：全案整体概念创意设计及文案全体系创作、展陈布展撤展等。整个展陈项目内容包括引领部分、前言部分、主体部分、结语部分4个板块，其中主体部分围绕产业发展竞赛、招商引资竞赛、营商环境竞赛、创新发展和改革开放竞赛、城市建设管理竞赛、增进民生福祉竞赛共设置8个展板，重点突出产业发展竞赛和招商引资竞赛两个部分；引领部分、前言部分、结语部分各设置1个展板，合计11个展板。具体实施情况如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（1）2022年4月21日：拟定展陈布展总体构架；现场踏勘昆明会堂布展场地；提出初步布展设计方案并按程序报审。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（2）2022年4月22日：开展项目竞争性磋商，选定展陈布展供应商。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（3）2022年4月23日至24日：发布成交通知书，公示展陈布展中标供应商，完成展陈布展整体概念创意设计及文案全体系创作小样并报审。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（4）2022年4月25日至26日：完成首次展陈布展设计、展陈布展、验收和撤展工作。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（5）2022年8月13至16日：完成第三季度展陈布展设计、展陈布展、验收和撤展工作。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（6）2022年12月4日-9日：完成第四季度展陈布展设计、展陈布展、验收和撤展工作。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资金拨付流程：昆明市“当好排头兵”大竞赛活动“晒成绩”展陈布展项目资金为财政资金，由市财政零余额账户拨付。</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1.总目标</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为深入学习贯彻习近平总书记考察云南重要讲话精神，认真落实省委、省政府对昆明当好全省经济社会发展排头兵的重要部署，市委、市政府决定在全市开展“当好排头兵”大讨论大竞赛活动。昆明日报社根据中共昆明市委办公室、昆明市人民政府办公室关于印发《昆明市开展“当好排头兵”大竞赛活动实施方案》的通知，重点围绕产业强省建设、一流营商环境建设、创新发展和改革开放、城市建设管理、坚持人民至上增进民生福祉、激励干部队伍干事创业激情“六个方面，负责做好昆明市“当好排头兵”大竞赛活动“晒成绩”展陈布展等工作。</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2.年度目标</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产出目标：昆明市“当好排头兵”大竞赛活动“晒成绩”展陈布展工作将分三个季度开展展陈布展工作，每个季度展陈布展工作包括：全案整体概念创意设计及文案全体系创作，展陈布展等，其中，展陈布展包括引领部分、前言部分、主体部分、结语部分4个板块组成。主体部分围绕产业发展竞赛、招商引资竞赛、营商环境竞赛、创新发展和改革开放竞赛、城市建设管理竞赛、增进民生福祉竞赛共设置8个展板；引领部分、前言部分、结语部分各设置1个展板，合计11个展板。</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效果目标：通过大竞赛“晒成绩”的方式，传导压力、学习先进、督促后进、激发干劲，激励全市干部队伍干事创业激情“六个方面”当好全省排头兵，奋力推动高质量发展，以优异成绩迎接党的二十大胜利召开。同时带动全市党员干部拿出超常的干劲、举措、力度，大抓产业发展、大抓营商环境、大抓市场主体、大抓改革开放、大抓创新发展、大抓绿色发展，形成比学赶超的良好氛围，全面推动经济社会高质量发展。</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二、绩效评价工作情况</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（一）绩效评价目的</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昆明市“当好排头兵”大竞赛活动“晒成绩”展陈布展政治性强、时间紧、任务重、标准高，各级有关部门深化认识、高度重视，切实提高政治站位，把展陈布展作为一项重要任务，摆在突出位置，列入重要议事日程，进一步细化工作方案，明确职责分工，强化安全意识，高标准高质量完成各项任务。展陈布展以比武竞赛的方式，激发干劲、奋发攻坚、争创一流，激励全市广大党员干部惊醒起来、振作起来、行动起来，进一步增强实干精神、表率意识，深入推进作风革命、效能革命，重点围绕产业强省建设、一流营商环境建设、创新发展和改革开放、城市建设管理、坚持人民至上增进民生福祉、激励干部队伍干事创业激情“六个方面”当好全省排头兵，奋力推动高质量发展，以优异成绩迎接党的二十大胜利召开。项目预算编制合理，成本支出真实，控制有效，对财政资金的使用效率高，效果明显。</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（二）绩效评价工作方案制定过程</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1.前期调研</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前期，项目临时工作组多次集中研究、讨论展陈布展的展览形式及展览内容，与市委办公室、市政府办公室、市委目督办、市政府目督办、市发展改革委、市工业和信息化局、市教育体育局、市科技局、市人力资源和社会保障局、市自然资源规划局、市住房和城乡建设局、市商务局、市文化和旅游局、市卫生健康委、市市场监管局、市统计局、市医保局、市城市管理局、市滇池管理局、市政务服务局、市投资促进局组织相关资料，经多次易稿，确定布展设计方案。与此同时，前往昆明会堂考察、研究展陈布展方案。</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2.研究文件</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中共昆明市委、昆明市人民政府印发的《昆明市开展“当好排头兵”大讨论大竞赛活动工作方案》；中共昆明市委办公室 昆明市人民政府办公室印发的《昆明市开展“当好排头兵”大竞赛活动实施方案》。</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绩效评价指标体系包含产出指标、效益指标、满意度指标3个一级指标。其中，产出指标下设数量指标、质量指标、时效指标3个二级指标；效益指标下设社会效益指标、可持续影响指标2个二级指标；满意度指标下设服务对象满意度指标。</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昆明市开展“当好排头兵”大讨论大竞赛活动工作方案》主要包含竞赛内容、工作要求2个部分。其中竞赛内容包括产业发展竞赛、招商引资竞赛、营商环境竞赛、创新发展和改革开放竞赛、城市建设管理竞赛、增进民生福祉竞赛六个方面的内容。</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（三）绩效评价原则、评价方法</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一是科学规范原则；该项目绩效评价严格遵循既定程序，科学可行；</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二是公开公正原则；该项目绩效评价公开公正；</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三是分级分类原则；该项目根据评价对象特点进行了分类组织实施；</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四是绩效相关原则。该项目公开公平公正，媒体进行了公开报道，组织全市广大党员干部集中参观学习。</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定量指标与定性指标相结合</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（四）绩效评价实施过程</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1.数据填报和采集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该项目数据填报和采集均由专人负责，建立台账并附有佐证资料。</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2.社会调查</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该项目在绩效评价实施过程中进行了充分的社会调查。</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3.数据分析和撰写报告</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该项目进行了科学合理的数据分析，撰写了报告：展陈布展以比武竞赛的方式，激发干劲、奋发攻坚、争创一流，激励全市广大党员干部惊醒起来、振作起来、行动起来，进一步增强实干精神、表率意识，深入推进作风革命、效能革命，重点围绕产业强省建设、一流营商环境建设、创新发展和改革开放、城市建设管理、坚持人民至上增进民生福祉、激励干部队伍干事创业激情“六个方面”当好全省排头兵，奋力推动高质量发展，以优异成绩迎接党的二十大胜利召开。项目预算编制合理，成本支出真实，控制有效，对财政资金的使用效率高，效果明显。</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（五）本次绩效评价的局限性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本次绩效评价定量指标与定性指标相结合，其中，时间紧、任务重，布展的时效性无法明确保证。</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三、评价结论和绩效分析</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adjustRightInd w:val="0"/>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（1）展陈内容丰富</w:t>
      </w:r>
    </w:p>
    <w:p>
      <w:pPr>
        <w:adjustRightInd w:val="0"/>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昆明市“当好排头兵”大竞赛活动“晒成绩”展陈布展项目按季度进行展示，每季度展示共11个展板，连续三个季度亮出“成绩单”。展陈布展涉及引领、前言、主体、结语四个部分，其中引领部分、前言部分、结语部分各设置1个展板，主体部分围绕产业发展竞赛、招商引资竞赛、营商环境竞赛、创新发展和改革开放竞赛、城市建设管理竞赛、增进民生福祉竞赛共设置8个展板，重点突出产业发展竞赛和招商引资竞赛两个部分，以及各县（市）区、开发（度假）区各季度工作开展情况及取得的成效。</w:t>
      </w:r>
    </w:p>
    <w:p>
      <w:pPr>
        <w:adjustRightInd w:val="0"/>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（2）展陈效果好</w:t>
      </w:r>
    </w:p>
    <w:p>
      <w:pPr>
        <w:adjustRightInd w:val="0"/>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昆明市“当好排头兵”大竞赛活动展陈内容</w:t>
      </w:r>
      <w:r>
        <w:rPr>
          <w:rFonts w:ascii="仿宋" w:hAnsi="仿宋" w:eastAsia="仿宋" w:cs="仿宋"/>
          <w:sz w:val="32"/>
          <w:szCs w:val="32"/>
          <w:shd w:val="clear" w:color="auto" w:fill="FFFFFF"/>
        </w:rPr>
        <w:t>包括2022年前三季度竞赛成绩总排名、乡镇（街道）竞赛成绩排名、2022年前三季度主要经济指标完成情况以及产业发展、招商引资、营商环境建设、创新发展和改革开放、城市建设管理、增进民生福祉等竞赛的各分项排名和细化指标。“大竞赛”成绩主要以图表的形式进行展示。在部分展板上，竞赛排名前三位的用红色背景展示，竞赛排名后三位的用灰色背景展示，是名副其实的“红黑榜”。考评结果</w:t>
      </w:r>
      <w:r>
        <w:rPr>
          <w:rFonts w:ascii="仿宋" w:hAnsi="仿宋" w:eastAsia="仿宋" w:cs="仿宋"/>
          <w:sz w:val="32"/>
          <w:szCs w:val="32"/>
        </w:rPr>
        <w:t>推进干部能上能下常态化，为昆明市“当好排头兵”大竞赛活动营造比学赶超浓厚氛围，为完成全年目标任务奠定坚实基础。</w:t>
      </w:r>
    </w:p>
    <w:p>
      <w:pPr>
        <w:adjustRightInd w:val="0"/>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（3）社会反响好</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展陈布展受到全市各级各部门和市民的高度关注，展陈期间，昆明日报重要版面刊发了《在百舸争流中奋勇争先——昆明市“当好排头兵”大竞赛活动第二季度工作推进会侧记》《全市上半年大竞赛活动成绩放榜 以思想破冰推动发展突围》《“当好排头兵”大竞赛活动前三季度成绩放榜 争时间抢进度找对策想办法 踔厉奋发努力交上合格答卷》等多篇稿件，同步在昆报头条、昆滇经济、掌上春城等新媒体平台推送相关稿件，受到了全市上下的广泛关注。其中，昆明日报单日报纸发行量超10万份，掌上春城微信公众号发布的大竞赛相关稿件平均阅读量达5000以上。稿件一经发布，就被学习强国昆明学习平台、云南网、昆明广播电视台《昆明新闻》等多家媒体转载报道。其中，昆明广播电视台《昆明新闻》发布的视频新闻《昆明市当好排头兵大竞赛活动第一季度考评结果展开展》还被其他主流媒体平台转播，达到了预期效果。</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坚持以习近平新时代中国特色社会主义思想为指导，全面贯彻落实党的十九大和十九届历次全会精神，深入学习贯彻习近平总书记考察云南重要讲话精神，认真贯彻落实省第十一次党代会和市第十二次党代会、市委十二届二次全会精神，突出问题导向、目标导向、结果导向，在学习讨论中统一思想、找准症结、提振精神，在比武竞赛中激发干劲、奋发攻坚、争创一流，激励全市广大党员干部惊醒起来、振作起来、行动起来，进一步增强实干精神、表率意识，深入推进作风革命、效能革命，重点围绕产业强省建设、一流营商环境建设、创新发展和改革开放、城市建设管理、坚持人民至上增进民生福祉、激励干部队伍干事创业激情“六个方面”当好全省排头兵，奋力推动高质量发展，以优异成绩迎接党的二十大胜利召开。</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（二）具体绩效分析</w:t>
      </w:r>
    </w:p>
    <w:p>
      <w:pPr>
        <w:pStyle w:val="72"/>
      </w:pPr>
      <w:r>
        <w:t xml:space="preserve"> </w:t>
      </w:r>
    </w:p>
    <w:tbl>
      <w:tblPr>
        <w:tblStyle w:val="16"/>
        <w:tblW w:w="0" w:type="auto"/>
        <w:tblInd w:w="372" w:type="dxa"/>
        <w:tblLayout w:type="fixed"/>
        <w:tblCellMar>
          <w:top w:w="0" w:type="dxa"/>
          <w:left w:w="0" w:type="dxa"/>
          <w:bottom w:w="0" w:type="dxa"/>
          <w:right w:w="0" w:type="dxa"/>
        </w:tblCellMar>
      </w:tblPr>
      <w:tblGrid>
        <w:gridCol w:w="575"/>
        <w:gridCol w:w="978"/>
        <w:gridCol w:w="1036"/>
        <w:gridCol w:w="2779"/>
        <w:gridCol w:w="1125"/>
        <w:gridCol w:w="763"/>
        <w:gridCol w:w="690"/>
        <w:gridCol w:w="887"/>
      </w:tblGrid>
      <w:tr>
        <w:tblPrEx>
          <w:tblCellMar>
            <w:top w:w="0" w:type="dxa"/>
            <w:left w:w="0" w:type="dxa"/>
            <w:bottom w:w="0" w:type="dxa"/>
            <w:right w:w="0" w:type="dxa"/>
          </w:tblCellMar>
        </w:tblPrEx>
        <w:trPr>
          <w:trHeight w:val="582"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绩</w:t>
            </w:r>
            <w:r>
              <w:rPr>
                <w:rFonts w:cs="宋体"/>
                <w:sz w:val="22"/>
                <w:szCs w:val="22"/>
              </w:rPr>
              <w:br w:type="textWrapping"/>
            </w:r>
            <w:r>
              <w:rPr>
                <w:rFonts w:cs="宋体"/>
                <w:sz w:val="22"/>
                <w:szCs w:val="22"/>
              </w:rPr>
              <w:t>效</w:t>
            </w:r>
            <w:r>
              <w:rPr>
                <w:rFonts w:cs="宋体"/>
                <w:sz w:val="22"/>
                <w:szCs w:val="22"/>
              </w:rPr>
              <w:br w:type="textWrapping"/>
            </w:r>
            <w:r>
              <w:rPr>
                <w:rFonts w:cs="宋体"/>
                <w:sz w:val="22"/>
                <w:szCs w:val="22"/>
              </w:rPr>
              <w:t>指</w:t>
            </w:r>
            <w:r>
              <w:rPr>
                <w:rFonts w:cs="宋体"/>
                <w:sz w:val="22"/>
                <w:szCs w:val="22"/>
              </w:rPr>
              <w:br w:type="textWrapping"/>
            </w:r>
            <w:r>
              <w:rPr>
                <w:rFonts w:cs="宋体"/>
                <w:sz w:val="22"/>
                <w:szCs w:val="22"/>
              </w:rPr>
              <w:t>标</w:t>
            </w:r>
          </w:p>
        </w:tc>
        <w:tc>
          <w:tcPr>
            <w:tcW w:w="97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一级指标</w:t>
            </w:r>
          </w:p>
        </w:tc>
        <w:tc>
          <w:tcPr>
            <w:tcW w:w="10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二级指标</w:t>
            </w: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三级指标</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年度</w:t>
            </w:r>
            <w:r>
              <w:rPr>
                <w:rFonts w:cs="宋体"/>
                <w:sz w:val="22"/>
                <w:szCs w:val="22"/>
              </w:rPr>
              <w:br w:type="textWrapping"/>
            </w:r>
            <w:r>
              <w:rPr>
                <w:rFonts w:cs="宋体"/>
                <w:sz w:val="22"/>
                <w:szCs w:val="22"/>
              </w:rPr>
              <w:t>指标值</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实际</w:t>
            </w:r>
            <w:r>
              <w:rPr>
                <w:rFonts w:cs="宋体"/>
                <w:sz w:val="22"/>
                <w:szCs w:val="22"/>
              </w:rPr>
              <w:br w:type="textWrapping"/>
            </w:r>
            <w:r>
              <w:rPr>
                <w:rFonts w:cs="宋体"/>
                <w:sz w:val="22"/>
                <w:szCs w:val="22"/>
              </w:rPr>
              <w:t>完成值</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分值</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得分</w:t>
            </w:r>
          </w:p>
        </w:tc>
      </w:tr>
      <w:tr>
        <w:tblPrEx>
          <w:tblCellMar>
            <w:top w:w="0" w:type="dxa"/>
            <w:left w:w="0" w:type="dxa"/>
            <w:bottom w:w="0" w:type="dxa"/>
            <w:right w:w="0" w:type="dxa"/>
          </w:tblCellMar>
        </w:tblPrEx>
        <w:trPr>
          <w:trHeight w:val="582"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97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产出指标</w:t>
            </w:r>
          </w:p>
        </w:tc>
        <w:tc>
          <w:tcPr>
            <w:tcW w:w="10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数量指标</w:t>
            </w: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指标1：连续三个季度开展展陈布展工作</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3个季度</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3</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5</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5</w:t>
            </w:r>
          </w:p>
        </w:tc>
      </w:tr>
      <w:tr>
        <w:tblPrEx>
          <w:tblCellMar>
            <w:top w:w="0" w:type="dxa"/>
            <w:left w:w="0" w:type="dxa"/>
            <w:bottom w:w="0" w:type="dxa"/>
            <w:right w:w="0" w:type="dxa"/>
          </w:tblCellMar>
        </w:tblPrEx>
        <w:trPr>
          <w:trHeight w:val="582"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0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指标2：全案整体概念创意设计及文案全体系创作</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3个季度</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3</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w:t>
            </w:r>
          </w:p>
        </w:tc>
      </w:tr>
      <w:tr>
        <w:tblPrEx>
          <w:tblCellMar>
            <w:top w:w="0" w:type="dxa"/>
            <w:left w:w="0" w:type="dxa"/>
            <w:bottom w:w="0" w:type="dxa"/>
            <w:right w:w="0" w:type="dxa"/>
          </w:tblCellMar>
        </w:tblPrEx>
        <w:trPr>
          <w:trHeight w:val="302"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0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指标3：展陈布展</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33个</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33</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w:t>
            </w:r>
          </w:p>
        </w:tc>
      </w:tr>
      <w:tr>
        <w:tblPrEx>
          <w:tblCellMar>
            <w:top w:w="0" w:type="dxa"/>
            <w:left w:w="0" w:type="dxa"/>
            <w:bottom w:w="0" w:type="dxa"/>
            <w:right w:w="0" w:type="dxa"/>
          </w:tblCellMar>
        </w:tblPrEx>
        <w:trPr>
          <w:trHeight w:val="1151"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0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质量指标</w:t>
            </w: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指标1：全案整体概念创意设计及文案全体系创作符合各竞赛活动季度开展情况，版面美观、亮点突出、形式创新</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w:t>
            </w:r>
          </w:p>
        </w:tc>
      </w:tr>
      <w:tr>
        <w:tblPrEx>
          <w:tblCellMar>
            <w:top w:w="0" w:type="dxa"/>
            <w:left w:w="0" w:type="dxa"/>
            <w:bottom w:w="0" w:type="dxa"/>
            <w:right w:w="0" w:type="dxa"/>
          </w:tblCellMar>
        </w:tblPrEx>
        <w:trPr>
          <w:trHeight w:val="302"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0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指标2：展板展示效果好</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w:t>
            </w:r>
          </w:p>
        </w:tc>
      </w:tr>
      <w:tr>
        <w:tblPrEx>
          <w:tblCellMar>
            <w:top w:w="0" w:type="dxa"/>
            <w:left w:w="0" w:type="dxa"/>
            <w:bottom w:w="0" w:type="dxa"/>
            <w:right w:w="0" w:type="dxa"/>
          </w:tblCellMar>
        </w:tblPrEx>
        <w:trPr>
          <w:trHeight w:val="721"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0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时效指标</w:t>
            </w: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指标1：一季度“晒成绩”展陈展示</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5</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5</w:t>
            </w:r>
          </w:p>
        </w:tc>
      </w:tr>
      <w:tr>
        <w:tblPrEx>
          <w:tblCellMar>
            <w:top w:w="0" w:type="dxa"/>
            <w:left w:w="0" w:type="dxa"/>
            <w:bottom w:w="0" w:type="dxa"/>
            <w:right w:w="0" w:type="dxa"/>
          </w:tblCellMar>
        </w:tblPrEx>
        <w:trPr>
          <w:trHeight w:val="721"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0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指标2：二季度“晒成绩”展陈展示</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5</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5</w:t>
            </w:r>
          </w:p>
        </w:tc>
      </w:tr>
      <w:tr>
        <w:tblPrEx>
          <w:tblCellMar>
            <w:top w:w="0" w:type="dxa"/>
            <w:left w:w="0" w:type="dxa"/>
            <w:bottom w:w="0" w:type="dxa"/>
            <w:right w:w="0" w:type="dxa"/>
          </w:tblCellMar>
        </w:tblPrEx>
        <w:trPr>
          <w:trHeight w:val="829"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0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指标3：三季度“晒成绩”展陈展示</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5</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5</w:t>
            </w:r>
          </w:p>
        </w:tc>
      </w:tr>
      <w:tr>
        <w:tblPrEx>
          <w:tblCellMar>
            <w:top w:w="0" w:type="dxa"/>
            <w:left w:w="0" w:type="dxa"/>
            <w:bottom w:w="0" w:type="dxa"/>
            <w:right w:w="0" w:type="dxa"/>
          </w:tblCellMar>
        </w:tblPrEx>
        <w:trPr>
          <w:trHeight w:val="1419"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0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社会效益指标</w:t>
            </w: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指标1：激励全市干部队伍干事创业激情“六个方面”当好全省排头兵，奋力推动高质量发展，以优异成绩迎接党的二十大胜利召开。</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20</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20</w:t>
            </w:r>
          </w:p>
        </w:tc>
      </w:tr>
      <w:tr>
        <w:tblPrEx>
          <w:tblCellMar>
            <w:top w:w="0" w:type="dxa"/>
            <w:left w:w="0" w:type="dxa"/>
            <w:bottom w:w="0" w:type="dxa"/>
            <w:right w:w="0" w:type="dxa"/>
          </w:tblCellMar>
        </w:tblPrEx>
        <w:trPr>
          <w:trHeight w:val="114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10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可持续影响指标</w:t>
            </w: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指标1：形成比学赶超的浓厚氛围，推动昆明各项工作迈上新台阶，当好全省经济社会发展排头兵。</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w:t>
            </w:r>
          </w:p>
        </w:tc>
      </w:tr>
      <w:tr>
        <w:tblPrEx>
          <w:tblCellMar>
            <w:top w:w="0" w:type="dxa"/>
            <w:left w:w="0" w:type="dxa"/>
            <w:bottom w:w="0" w:type="dxa"/>
            <w:right w:w="0" w:type="dxa"/>
          </w:tblCellMar>
        </w:tblPrEx>
        <w:trPr>
          <w:trHeight w:val="302"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97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满意度</w:t>
            </w:r>
            <w:r>
              <w:rPr>
                <w:rFonts w:cs="宋体"/>
                <w:sz w:val="22"/>
                <w:szCs w:val="22"/>
              </w:rPr>
              <w:br w:type="textWrapping"/>
            </w:r>
            <w:r>
              <w:rPr>
                <w:rFonts w:cs="宋体"/>
                <w:sz w:val="22"/>
                <w:szCs w:val="22"/>
              </w:rPr>
              <w:t>指标</w:t>
            </w:r>
          </w:p>
        </w:tc>
        <w:tc>
          <w:tcPr>
            <w:tcW w:w="10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服务对象满意度指标</w:t>
            </w:r>
          </w:p>
        </w:tc>
        <w:tc>
          <w:tcPr>
            <w:tcW w:w="27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指标1：全市干部队伍满意度</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7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9</w:t>
            </w:r>
          </w:p>
        </w:tc>
      </w:tr>
      <w:tr>
        <w:tblPrEx>
          <w:tblCellMar>
            <w:top w:w="0" w:type="dxa"/>
            <w:left w:w="0" w:type="dxa"/>
            <w:bottom w:w="0" w:type="dxa"/>
            <w:right w:w="0" w:type="dxa"/>
          </w:tblCellMar>
        </w:tblPrEx>
        <w:trPr>
          <w:trHeight w:val="829"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201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其他要说明的事项</w:t>
            </w:r>
          </w:p>
        </w:tc>
        <w:tc>
          <w:tcPr>
            <w:tcW w:w="6244"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无</w:t>
            </w:r>
          </w:p>
        </w:tc>
      </w:tr>
      <w:tr>
        <w:tblPrEx>
          <w:tblCellMar>
            <w:top w:w="0" w:type="dxa"/>
            <w:left w:w="0" w:type="dxa"/>
            <w:bottom w:w="0" w:type="dxa"/>
            <w:right w:w="0" w:type="dxa"/>
          </w:tblCellMar>
        </w:tblPrEx>
        <w:trPr>
          <w:trHeight w:val="34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c>
          <w:tcPr>
            <w:tcW w:w="6681"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总分</w:t>
            </w:r>
          </w:p>
        </w:tc>
        <w:tc>
          <w:tcPr>
            <w:tcW w:w="6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100</w:t>
            </w:r>
          </w:p>
        </w:tc>
        <w:tc>
          <w:tcPr>
            <w:tcW w:w="8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99</w:t>
            </w:r>
          </w:p>
        </w:tc>
      </w:tr>
      <w:tr>
        <w:tblPrEx>
          <w:tblCellMar>
            <w:top w:w="0" w:type="dxa"/>
            <w:left w:w="0" w:type="dxa"/>
            <w:bottom w:w="0" w:type="dxa"/>
            <w:right w:w="0" w:type="dxa"/>
          </w:tblCellMar>
        </w:tblPrEx>
        <w:trPr>
          <w:trHeight w:val="312" w:hRule="atLeast"/>
        </w:trPr>
        <w:tc>
          <w:tcPr>
            <w:tcW w:w="8833" w:type="dxa"/>
            <w:gridSpan w:val="8"/>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sz w:val="22"/>
                <w:szCs w:val="22"/>
              </w:rPr>
            </w:pPr>
            <w:r>
              <w:rPr>
                <w:rFonts w:cs="宋体"/>
                <w:sz w:val="22"/>
                <w:szCs w:val="22"/>
              </w:rPr>
              <w:t>注：1.其他资金：请在“其他需要说明的事项”栏注明资金来源。</w:t>
            </w:r>
            <w:r>
              <w:rPr>
                <w:rFonts w:cs="宋体"/>
                <w:sz w:val="22"/>
                <w:szCs w:val="22"/>
              </w:rPr>
              <w:br w:type="textWrapping"/>
            </w:r>
            <w:r>
              <w:rPr>
                <w:rFonts w:cs="宋体"/>
                <w:sz w:val="22"/>
                <w:szCs w:val="22"/>
              </w:rPr>
              <w:t xml:space="preserve">    2.分值：原则上产出指标总分50分，效益指标总分30分，满意度指标总分10分。</w:t>
            </w:r>
            <w:r>
              <w:rPr>
                <w:rFonts w:cs="宋体"/>
                <w:sz w:val="22"/>
                <w:szCs w:val="22"/>
              </w:rPr>
              <w:br w:type="textWrapping"/>
            </w:r>
            <w:r>
              <w:rPr>
                <w:rFonts w:cs="宋体"/>
                <w:sz w:val="22"/>
                <w:szCs w:val="22"/>
              </w:rPr>
              <w:t xml:space="preserve">    3.自评等级：划分为4档，100-90（含）分为优、90-80（含）分为良、80-60（含）分为中、60分以下为差。</w:t>
            </w:r>
          </w:p>
        </w:tc>
      </w:tr>
      <w:tr>
        <w:tblPrEx>
          <w:tblCellMar>
            <w:top w:w="0" w:type="dxa"/>
            <w:left w:w="0" w:type="dxa"/>
            <w:bottom w:w="0" w:type="dxa"/>
            <w:right w:w="0" w:type="dxa"/>
          </w:tblCellMar>
        </w:tblPrEx>
        <w:trPr>
          <w:trHeight w:val="312" w:hRule="atLeast"/>
        </w:trPr>
        <w:tc>
          <w:tcPr>
            <w:tcW w:w="8833" w:type="dxa"/>
            <w:gridSpan w:val="8"/>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r>
      <w:tr>
        <w:tblPrEx>
          <w:tblCellMar>
            <w:top w:w="0" w:type="dxa"/>
            <w:left w:w="0" w:type="dxa"/>
            <w:bottom w:w="0" w:type="dxa"/>
            <w:right w:w="0" w:type="dxa"/>
          </w:tblCellMar>
        </w:tblPrEx>
        <w:trPr>
          <w:trHeight w:val="312" w:hRule="atLeast"/>
        </w:trPr>
        <w:tc>
          <w:tcPr>
            <w:tcW w:w="8833" w:type="dxa"/>
            <w:gridSpan w:val="8"/>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r>
      <w:tr>
        <w:tblPrEx>
          <w:tblCellMar>
            <w:top w:w="0" w:type="dxa"/>
            <w:left w:w="0" w:type="dxa"/>
            <w:bottom w:w="0" w:type="dxa"/>
            <w:right w:w="0" w:type="dxa"/>
          </w:tblCellMar>
        </w:tblPrEx>
        <w:trPr>
          <w:trHeight w:val="515" w:hRule="atLeast"/>
        </w:trPr>
        <w:tc>
          <w:tcPr>
            <w:tcW w:w="8833" w:type="dxa"/>
            <w:gridSpan w:val="8"/>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sz w:val="20"/>
                <w:szCs w:val="20"/>
              </w:rPr>
            </w:pPr>
          </w:p>
        </w:tc>
      </w:tr>
    </w:tbl>
    <w:p>
      <w:pPr>
        <w:pStyle w:val="72"/>
      </w:pPr>
      <w:r>
        <w:t xml:space="preserve"> </w:t>
      </w:r>
    </w:p>
    <w:p>
      <w:pPr>
        <w:topLinePunct/>
        <w:spacing w:line="600" w:lineRule="exact"/>
        <w:ind w:firstLine="800" w:firstLineChars="250"/>
        <w:jc w:val="both"/>
        <w:rPr>
          <w:rFonts w:hint="default" w:ascii="黑体" w:hAnsi="Calibri" w:eastAsia="黑体" w:cs="黑体"/>
          <w:sz w:val="32"/>
          <w:szCs w:val="32"/>
        </w:rPr>
      </w:pPr>
      <w:r>
        <w:rPr>
          <w:rFonts w:ascii="黑体" w:eastAsia="黑体" w:cs="黑体"/>
          <w:sz w:val="32"/>
          <w:szCs w:val="32"/>
        </w:rPr>
        <w:t>四、成本效益分析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资金使用方向正确，收支结构合理；项目资金管理规范；资金节约性、资金使用效果明显；项目无明显变化趋势。</w:t>
      </w:r>
    </w:p>
    <w:p>
      <w:pPr>
        <w:topLinePunct/>
        <w:spacing w:line="600" w:lineRule="exact"/>
        <w:ind w:firstLine="800" w:firstLineChars="250"/>
        <w:jc w:val="both"/>
        <w:rPr>
          <w:rFonts w:hint="default" w:ascii="黑体" w:hAnsi="Calibri" w:eastAsia="黑体" w:cs="黑体"/>
          <w:sz w:val="32"/>
          <w:szCs w:val="32"/>
        </w:rPr>
      </w:pPr>
      <w:r>
        <w:rPr>
          <w:rFonts w:ascii="黑体" w:eastAsia="黑体" w:cs="黑体"/>
          <w:sz w:val="32"/>
          <w:szCs w:val="32"/>
        </w:rPr>
        <w:t>五、主要经验及做法、存在的问题和建议</w:t>
      </w:r>
    </w:p>
    <w:p>
      <w:pPr>
        <w:topLinePunct/>
        <w:spacing w:line="56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（一）主要经验及做法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加强组织领导、提高政治站位。因政治性强，时间紧、任务重、标准高，组织方深化认识、高度重视，切实提高政治站位，把展陈布展作为一项重要任务，摆在突出位置，列入重要议事日程，进一步细化工作方案，明确职责分工，强化安全意识，高标准高质量完成好各项任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2.强化统筹协调，精心组织实施。大竞赛活动展陈布展在竞赛活动组的统一组织下开展，按季度将各参赛单位的成绩与排名情况制作竞赛成绩排名公示榜，在每季度全市重点工作推进 会上进行展陈布展，展览通过一系列翔实的数据和科学的比较，形成较为完善的考评体系，最终成绩立体而实在，让人看了心服口服，营造比学赶超浓厚氛围。</w:t>
      </w:r>
    </w:p>
    <w:p>
      <w:pPr>
        <w:topLinePunct/>
        <w:spacing w:line="56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（二）存在的问题</w:t>
      </w:r>
    </w:p>
    <w:p>
      <w:pPr>
        <w:pStyle w:val="72"/>
        <w:ind w:firstLine="640" w:firstLineChars="200"/>
        <w:rPr>
          <w:rFonts w:ascii="仿宋" w:hAnsi="仿宋" w:eastAsia="仿宋" w:cs="仿宋"/>
          <w:sz w:val="32"/>
          <w:szCs w:val="32"/>
        </w:rPr>
      </w:pPr>
      <w:r>
        <w:rPr>
          <w:rFonts w:hint="eastAsia" w:ascii="仿宋" w:hAnsi="仿宋" w:eastAsia="仿宋" w:cs="仿宋"/>
          <w:sz w:val="32"/>
          <w:szCs w:val="32"/>
        </w:rPr>
        <w:t>1.由于考评数据较多，大竞赛活动展陈展板少，无法全部呈现。</w:t>
      </w:r>
    </w:p>
    <w:p>
      <w:pPr>
        <w:pStyle w:val="72"/>
        <w:ind w:firstLine="640" w:firstLineChars="200"/>
        <w:rPr>
          <w:rFonts w:ascii="仿宋" w:hAnsi="仿宋" w:eastAsia="仿宋" w:cs="仿宋"/>
          <w:sz w:val="32"/>
          <w:szCs w:val="32"/>
        </w:rPr>
      </w:pPr>
      <w:r>
        <w:rPr>
          <w:rFonts w:hint="eastAsia" w:ascii="仿宋" w:hAnsi="仿宋" w:eastAsia="仿宋" w:cs="仿宋"/>
          <w:sz w:val="32"/>
          <w:szCs w:val="32"/>
        </w:rPr>
        <w:t>2.在大竞赛活动设计中，多数为图表展现，形式单一。</w:t>
      </w:r>
    </w:p>
    <w:p>
      <w:pPr>
        <w:topLinePunct/>
        <w:spacing w:line="56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（三）建议和改进措施</w:t>
      </w:r>
    </w:p>
    <w:p>
      <w:pPr>
        <w:pStyle w:val="72"/>
        <w:ind w:firstLine="640" w:firstLineChars="200"/>
        <w:rPr>
          <w:rFonts w:ascii="仿宋" w:hAnsi="仿宋" w:eastAsia="仿宋" w:cs="仿宋"/>
          <w:sz w:val="32"/>
          <w:szCs w:val="32"/>
        </w:rPr>
      </w:pPr>
      <w:r>
        <w:rPr>
          <w:rFonts w:hint="eastAsia" w:ascii="仿宋" w:hAnsi="仿宋" w:eastAsia="仿宋" w:cs="仿宋"/>
          <w:sz w:val="32"/>
          <w:szCs w:val="32"/>
        </w:rPr>
        <w:t>在下一届大竞赛活动的组织当中，不断创新展览形式、展示内容、展示手段等，强化展览的直观性、互动性，增加多媒体等表现形式。</w:t>
      </w:r>
    </w:p>
    <w:p>
      <w:pPr>
        <w:jc w:val="both"/>
        <w:rPr>
          <w:rFonts w:hint="default" w:cs="宋体"/>
        </w:rPr>
      </w:pPr>
      <w:r>
        <w:rPr>
          <w:rFonts w:cs="宋体"/>
        </w:rPr>
        <w:br w:type="page"/>
      </w:r>
      <w:r>
        <w:rPr>
          <w:rFonts w:cs="宋体"/>
          <w:sz w:val="32"/>
          <w:szCs w:val="32"/>
        </w:rPr>
        <w:t>项目十：</w:t>
      </w:r>
    </w:p>
    <w:p>
      <w:pPr>
        <w:jc w:val="center"/>
        <w:rPr>
          <w:rFonts w:hint="default" w:ascii="方正小标宋简体" w:hAnsi="方正小标宋简体" w:eastAsia="方正小标宋简体" w:cs="方正小标宋简体"/>
          <w:sz w:val="44"/>
          <w:szCs w:val="44"/>
        </w:rPr>
      </w:pPr>
      <w:r>
        <w:rPr>
          <w:rFonts w:cs="宋体"/>
          <w:sz w:val="44"/>
          <w:szCs w:val="44"/>
        </w:rPr>
        <w:t>廉洁文化产品制作和传播项目经费</w:t>
      </w:r>
    </w:p>
    <w:p>
      <w:pPr>
        <w:jc w:val="center"/>
        <w:rPr>
          <w:rFonts w:hint="default" w:ascii="方正小标宋简体" w:hAnsi="方正小标宋简体" w:eastAsia="方正小标宋简体" w:cs="方正小标宋简体"/>
          <w:sz w:val="44"/>
          <w:szCs w:val="44"/>
        </w:rPr>
      </w:pPr>
      <w:r>
        <w:rPr>
          <w:rFonts w:cs="宋体"/>
          <w:sz w:val="44"/>
          <w:szCs w:val="44"/>
        </w:rPr>
        <w:t>支出绩效自评报告</w:t>
      </w:r>
    </w:p>
    <w:p>
      <w:pPr>
        <w:topLinePunct/>
        <w:spacing w:line="600" w:lineRule="exact"/>
        <w:jc w:val="both"/>
        <w:rPr>
          <w:rFonts w:hint="default" w:ascii="黑体" w:hAnsi="Calibri" w:eastAsia="黑体" w:cs="黑体"/>
          <w:sz w:val="32"/>
          <w:szCs w:val="32"/>
        </w:rPr>
      </w:pPr>
      <w:r>
        <w:rPr>
          <w:rFonts w:ascii="黑体" w:hAnsi="Calibri" w:eastAsia="黑体" w:cs="黑体"/>
          <w:sz w:val="32"/>
          <w:szCs w:val="32"/>
        </w:rPr>
        <w:t xml:space="preserve"> </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一、项目基本情况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（一）项目概况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1.立项背景及目的</w:t>
      </w:r>
    </w:p>
    <w:p>
      <w:pPr>
        <w:ind w:firstLine="640" w:firstLineChars="200"/>
        <w:jc w:val="both"/>
        <w:rPr>
          <w:rFonts w:hint="default" w:ascii="仿宋" w:hAnsi="仿宋" w:eastAsia="仿宋" w:cs="仿宋"/>
          <w:sz w:val="32"/>
          <w:szCs w:val="32"/>
        </w:rPr>
      </w:pPr>
      <w:r>
        <w:rPr>
          <w:rFonts w:ascii="仿宋" w:hAnsi="仿宋" w:eastAsia="仿宋" w:cs="仿宋"/>
          <w:sz w:val="32"/>
          <w:szCs w:val="32"/>
        </w:rPr>
        <w:t>反腐败是最彻底的自我革命，纪检监察队伍是推进党的自我革命的重要力量。面向新时代新征程，纪检监察机关宣传部门必须以更加强烈的政治自觉和历史主动，深入学习贯彻习近平总书记关于党的自我革命的战略思想，胸怀大局、把握大势、着眼大事，与时俱进做好纪检监察宣传工作，为坚定不移推进党的自我革命和深化全面从严治党提供坚强保障，为营造山清水秀的政治生态提供舆论滋养和能量。</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ind w:firstLine="640" w:firstLineChars="200"/>
        <w:jc w:val="both"/>
        <w:rPr>
          <w:rFonts w:hint="default" w:ascii="仿宋" w:hAnsi="仿宋" w:eastAsia="仿宋" w:cs="仿宋"/>
          <w:sz w:val="32"/>
          <w:szCs w:val="32"/>
        </w:rPr>
      </w:pPr>
      <w:r>
        <w:rPr>
          <w:rFonts w:ascii="仿宋" w:hAnsi="仿宋" w:eastAsia="仿宋" w:cs="仿宋"/>
          <w:sz w:val="32"/>
          <w:szCs w:val="32"/>
        </w:rPr>
        <w:t>项目实施以来，不断提升“清风春城”微公号品质，使得“清风春城”品牌成为全市纪检监察成果的重要发布平台，不断加大“清风春城”微公号的辐射面、传播力和影响力；加强“清风春城”官方微博的日常运行维护，使得官微成为市纪委市监委日常工作的展示窗口，提升纪检监察宣传工作的传播指数和影响力；做稳《昆明纪检监察》周刊，设置“权威消息、以案说纪、基层动态、昆纪时评、纪检人镜头”等栏目，通过文字、图片、评论、漫画等形式，发挥纸媒传统优势效应，提升全市纪检监察工作宣传新格局。</w:t>
      </w:r>
    </w:p>
    <w:p>
      <w:pPr>
        <w:ind w:firstLine="640" w:firstLineChars="200"/>
        <w:jc w:val="both"/>
        <w:rPr>
          <w:rFonts w:hint="default" w:ascii="仿宋" w:hAnsi="仿宋" w:eastAsia="仿宋" w:cs="仿宋"/>
          <w:sz w:val="32"/>
          <w:szCs w:val="32"/>
        </w:rPr>
      </w:pPr>
      <w:r>
        <w:rPr>
          <w:rFonts w:ascii="仿宋" w:hAnsi="仿宋" w:eastAsia="仿宋" w:cs="仿宋"/>
          <w:sz w:val="32"/>
          <w:szCs w:val="32"/>
        </w:rPr>
        <w:t>3.资金来源及使用情况</w:t>
      </w:r>
    </w:p>
    <w:p>
      <w:pPr>
        <w:ind w:firstLine="640" w:firstLineChars="200"/>
        <w:jc w:val="both"/>
        <w:rPr>
          <w:rFonts w:hint="default" w:ascii="仿宋" w:hAnsi="仿宋" w:eastAsia="仿宋" w:cs="仿宋"/>
          <w:sz w:val="32"/>
          <w:szCs w:val="32"/>
        </w:rPr>
      </w:pPr>
      <w:r>
        <w:rPr>
          <w:rFonts w:ascii="仿宋" w:hAnsi="仿宋" w:eastAsia="仿宋" w:cs="仿宋"/>
          <w:sz w:val="32"/>
          <w:szCs w:val="32"/>
        </w:rPr>
        <w:t>项目资金来源为财政拨款，预算资金83万元于2022年8月拨付到位，全部用于廉洁文化产品制作和传播项目经费支出。</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4.组织及管理情况</w:t>
      </w:r>
    </w:p>
    <w:p>
      <w:pPr>
        <w:ind w:firstLine="640" w:firstLineChars="200"/>
        <w:jc w:val="both"/>
        <w:rPr>
          <w:rFonts w:hint="default" w:ascii="仿宋" w:hAnsi="仿宋" w:eastAsia="仿宋" w:cs="仿宋"/>
          <w:sz w:val="32"/>
          <w:szCs w:val="32"/>
        </w:rPr>
      </w:pPr>
      <w:r>
        <w:rPr>
          <w:rFonts w:ascii="仿宋" w:hAnsi="仿宋" w:eastAsia="仿宋" w:cs="仿宋"/>
          <w:sz w:val="32"/>
          <w:szCs w:val="32"/>
        </w:rPr>
        <w:t>项目组织情况：项目由昆明日报社统筹安排专职记者、编辑、信息员等，严格实施新闻采写规范制度、三审三校出版制度进行。</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项目实施流程：选题策划——选题审核——稿件采访——编辑——排版——审核——印刷——发行。</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资金拨付流程：资金拨付严格按照财务资金使用规范和昆明日报社财务管理相关流程执行。</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1.总目标</w:t>
      </w:r>
    </w:p>
    <w:p>
      <w:pPr>
        <w:ind w:firstLine="640" w:firstLineChars="200"/>
        <w:jc w:val="both"/>
        <w:rPr>
          <w:rFonts w:hint="default" w:ascii="仿宋" w:hAnsi="仿宋" w:eastAsia="仿宋" w:cs="仿宋"/>
          <w:sz w:val="32"/>
          <w:szCs w:val="32"/>
        </w:rPr>
      </w:pPr>
      <w:r>
        <w:rPr>
          <w:rFonts w:ascii="仿宋" w:hAnsi="仿宋" w:eastAsia="仿宋" w:cs="仿宋"/>
          <w:sz w:val="32"/>
          <w:szCs w:val="32"/>
        </w:rPr>
        <w:t>全面贯彻党的二十大精神，落实二十届中央纪委二次全会部署，更加深刻领悟“两个确立”的决定性意义，增强“四个意识”、坚定“四个自信”、做到“两个维护”，坚决贯彻坚定不移全面从严治党战略部署，认真落实健全全面从严治党体系任务要求，高水平建设清廉昆明，深入开展党风廉政建设和反腐败斗争，深化“四个进一步探索”昆明实践，推进新时代新征程纪检监察工作高质量发展，为开创昆明社会主义现代化建设新局面提供坚强保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2.年度目标</w:t>
      </w:r>
    </w:p>
    <w:p>
      <w:pPr>
        <w:ind w:firstLine="640" w:firstLineChars="200"/>
        <w:jc w:val="both"/>
        <w:rPr>
          <w:rFonts w:hint="default" w:ascii="仿宋" w:hAnsi="仿宋" w:eastAsia="仿宋" w:cs="仿宋"/>
          <w:sz w:val="32"/>
          <w:szCs w:val="32"/>
        </w:rPr>
      </w:pPr>
      <w:r>
        <w:rPr>
          <w:rFonts w:ascii="仿宋" w:hAnsi="仿宋" w:eastAsia="仿宋" w:cs="仿宋"/>
          <w:sz w:val="32"/>
          <w:szCs w:val="32"/>
        </w:rPr>
        <w:t>产出目标：2022年项目运行严格从提升“清风春城”微公号品质、加强“清风春城”官方微博日常运行维护、做稳《昆明纪检监察》周刊质量三方面执行。全年完成微公号推送303期；通过增强动态图片、视频投入等，对原有版面进行了优化和美化；官方微博日常运行维护良好，发送267期，总数267条；完成《昆明纪检监察周刊》45期，共398篇稿件；央级、省级媒体采用100篇以上。</w:t>
      </w:r>
    </w:p>
    <w:p>
      <w:pPr>
        <w:ind w:firstLine="640" w:firstLineChars="200"/>
        <w:jc w:val="both"/>
        <w:rPr>
          <w:rFonts w:hint="default" w:ascii="仿宋" w:hAnsi="仿宋" w:eastAsia="仿宋" w:cs="仿宋"/>
          <w:sz w:val="32"/>
          <w:szCs w:val="32"/>
        </w:rPr>
      </w:pPr>
      <w:r>
        <w:rPr>
          <w:rFonts w:ascii="仿宋" w:hAnsi="仿宋" w:eastAsia="仿宋" w:cs="仿宋"/>
          <w:sz w:val="32"/>
          <w:szCs w:val="32"/>
        </w:rPr>
        <w:t>效果目标：利用《昆明日报》较强的文字采编能力，按照“1名专班记者+2名责编记者”工作模式进行日常运营，加大“清风春城”微公号的原创文稿采编力度，加大“清风春城”微公号辐射面、传播力和影响力，并通过官方微博的日常维护推送提高微博的传播指数和影响力，通过《昆明纪检监察》周刊的制作发布，不断提升“清风春城”的美誉度和清廉度，为春城营造风清气正的政治生态提供保证。</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二、绩效评价工作情况</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（一）绩效评价目的</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全面了解本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（二）绩效评价工作方案制定过程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1.前期调研</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廉洁文化产品制作和传播项目经费项目团队制定相关评价方案，按照方案进行资料收集与审核，进行现场和非现场评价以及综合评价，从完成期数、出稿类型、报道质量、传播效应等方面进行评价，最终完成报告撰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2.研究文件</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相继研究了人事管理制度、绩效考评制度以及资金管理制度，以及全市纪检监察工作的相关文件等。</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3.绩效评价指标体系及工作方案的设计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制定了选题策划制度、人员管理制度、绩效考评制度以及资金管理制度，绩效考评以版面出刊数量、微公号推送数量、微博更新数量、全市纪检监察工作报道与全市中心工作契合度以及社会影响力等为标准，资金主要用于采编、新媒体维护、印刷、硬件以及发行支出等；</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评价体系重点包括：报道内容是否围绕全市纪检监察重点工作；报道数量是否符合审定方案；新媒体产品制作及维护是否达到对方客户要求；稿件刊发形成的舆论影响及范围。</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（三）绩效评价原则、评价方法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公平与客观、公开与开放、反馈与修改、定期化与制度化、可靠性与准确性、可行性与适用性。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稿分评定法：依据报社统一评分制度对项目采编人员工作进行考评，判定项目完成质量。</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社会调查法：根据报道引起的社会效应、受众反应、与相关部门互动程度来判定项目是否达到预期效果。涉及调查问卷，让项目相关人员就问卷项目进行评价。</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（四）绩效评价实施过程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1.数据填报和采集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统计稿件评分、读者感受评价，按照既定制度进行指标评价。</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2.社会调查</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统计读者反馈、社会评价、相关部门互动情况，注重长期跟踪。</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3.数据分析和撰写报告</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将前期收集资料进行整理，按照相关指标进行评价总结，结合预期目标形成总结报告。</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（五）本次绩效评价的局限性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由于本项目为新批复项目，项目运行实践经验方面还有所欠缺，项目相关人员配备还显不足，相关制度建设还有待进一步完善与加强。</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三、评价结论和绩效分析</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2022年，廉洁文化产品制作和传播项目各项工作正常开展，整体质量达标，资金使用情况规范，社会反响良好。</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ind w:firstLine="640" w:firstLineChars="200"/>
        <w:jc w:val="both"/>
        <w:rPr>
          <w:rFonts w:hint="default" w:ascii="仿宋" w:hAnsi="仿宋" w:eastAsia="仿宋" w:cs="仿宋"/>
          <w:sz w:val="32"/>
          <w:szCs w:val="32"/>
        </w:rPr>
      </w:pPr>
      <w:r>
        <w:rPr>
          <w:rFonts w:ascii="仿宋" w:hAnsi="仿宋" w:eastAsia="仿宋" w:cs="仿宋"/>
          <w:sz w:val="32"/>
          <w:szCs w:val="32"/>
        </w:rPr>
        <w:t>加大“清风春城”微公号的原创文稿采编力度，加大“清风春城”微公号辐射面、传播力和影响力，并通过官方微博的日常维护推送提高微博的传播指数和影响力，通过《昆明纪检监察》周刊的制作发布，不断提升“清风春城”的美誉度和清廉度，为春城营造风清气正的政治生态提供保证，为全市纪检监察工作提供了坚实宣传保证。</w:t>
      </w:r>
    </w:p>
    <w:p>
      <w:pPr>
        <w:ind w:firstLine="640" w:firstLineChars="200"/>
        <w:jc w:val="both"/>
        <w:rPr>
          <w:rFonts w:hint="default" w:ascii="仿宋" w:hAnsi="仿宋" w:eastAsia="仿宋" w:cs="仿宋"/>
          <w:sz w:val="32"/>
          <w:szCs w:val="32"/>
        </w:rPr>
      </w:pPr>
      <w:r>
        <w:rPr>
          <w:rFonts w:ascii="仿宋" w:hAnsi="仿宋" w:eastAsia="仿宋" w:cs="仿宋"/>
          <w:sz w:val="32"/>
          <w:szCs w:val="32"/>
        </w:rPr>
        <w:t>通过持续、无死角、全过程展示全市纪检监察工作成效，为深入推动正风反腐营造了良好的氛围。</w:t>
      </w:r>
    </w:p>
    <w:p>
      <w:pPr>
        <w:ind w:firstLine="640" w:firstLineChars="200"/>
        <w:jc w:val="both"/>
        <w:rPr>
          <w:rFonts w:hint="default" w:ascii="仿宋_GB2312" w:hAnsi="楷体" w:eastAsia="仿宋_GB2312" w:cs="仿宋_GB2312"/>
          <w:sz w:val="32"/>
          <w:szCs w:val="32"/>
        </w:rPr>
      </w:pPr>
      <w:r>
        <w:rPr>
          <w:rFonts w:ascii="楷体" w:hAnsi="楷体" w:eastAsia="楷体" w:cs="楷体"/>
          <w:sz w:val="32"/>
          <w:szCs w:val="32"/>
        </w:rPr>
        <w:t>（二）具体绩效分析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决策方面，项目与所属部门长期发展目标和工作性质相匹配，并在前期对项目可行性进行过调研，符合要求。项目绩效目标的制定紧扣杂志定位和操作实际，能完整反映项目预期产出和效果，绩效指标清晰、可衡量。自评分19.5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项目管理方面，预算编制围绕采编活动实际情况，在需要调整预算时严格按照相关规定执行，资金使用合理、规范、节约，资金拨付程序完整，没有出现截留、挤占或挪用项目资金的情况。自评分20分。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项目绩效方面，采编活动团队提前预热，刊发稿件，跟踪活动同步报道，圆满完成各项目标，社会效益和宣传效益达到预期目标。自评分59分。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项目总评分98.5分。</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四、成本效益分析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项目资金的财政拨款，主要用于“清风春城”微公号品质提升、“清风春城”官方微博日常运行维护及《昆明纪检监察》周刊采编、发行、印刷、发行等支出。</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所有资金实行专款专用，资金拨付严格审批程序，使用规范，会计核算结果真实、准确。项目单位建立健全项目实施预算方案、财务管理制度和会计核算制度，此次绩效评价过程中未发现有截留、挤占或挪用项目资金的情况。</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五、主要经验及做法、存在的问题和建议</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（一）主要经验及做法</w:t>
      </w:r>
    </w:p>
    <w:p>
      <w:pPr>
        <w:ind w:firstLine="640" w:firstLineChars="200"/>
        <w:jc w:val="both"/>
        <w:rPr>
          <w:rFonts w:hint="default" w:ascii="仿宋" w:hAnsi="仿宋" w:eastAsia="仿宋" w:cs="仿宋"/>
          <w:sz w:val="32"/>
          <w:szCs w:val="32"/>
        </w:rPr>
      </w:pPr>
      <w:r>
        <w:rPr>
          <w:rFonts w:ascii="仿宋" w:hAnsi="仿宋" w:eastAsia="仿宋" w:cs="仿宋"/>
          <w:sz w:val="32"/>
          <w:szCs w:val="32"/>
        </w:rPr>
        <w:t>1.党的二十大进一步加深了对“坚持以严的基调强化正风肃纪、坚决打赢反腐败斗争攻坚战持久战”的理解和把握，通过对全市纪检监察宣传工作项目的运作及执行，让我认识到反腐败是最彻底的自我革命，纪检监察队伍是推进党的自我革命的重要力量，作为党报党刊，必须以更加强烈的政治自觉和历史主动，深入学习贯彻习近平总书记关于党的自我革命的战略思想，胸怀大局、把握大势、着眼大事，与时俱进做好纪检监察宣传工作，为坚定不移推进党的自我革命和深化全面从严治党提供坚强保障。</w:t>
      </w:r>
    </w:p>
    <w:p>
      <w:pPr>
        <w:ind w:firstLine="640"/>
        <w:jc w:val="both"/>
        <w:rPr>
          <w:rFonts w:hint="default" w:ascii="仿宋" w:hAnsi="仿宋" w:eastAsia="仿宋" w:cs="仿宋"/>
          <w:sz w:val="32"/>
          <w:szCs w:val="32"/>
        </w:rPr>
      </w:pPr>
      <w:r>
        <w:rPr>
          <w:rFonts w:ascii="仿宋" w:hAnsi="仿宋" w:eastAsia="仿宋" w:cs="仿宋"/>
          <w:sz w:val="32"/>
          <w:szCs w:val="32"/>
        </w:rPr>
        <w:t>2.</w:t>
      </w:r>
      <w:r>
        <w:rPr>
          <w:rFonts w:ascii="仿宋" w:hAnsi="仿宋" w:eastAsia="仿宋" w:cs="仿宋"/>
        </w:rPr>
        <w:t xml:space="preserve"> </w:t>
      </w:r>
      <w:r>
        <w:rPr>
          <w:rFonts w:ascii="仿宋" w:hAnsi="仿宋" w:eastAsia="仿宋" w:cs="仿宋"/>
          <w:sz w:val="32"/>
          <w:szCs w:val="32"/>
        </w:rPr>
        <w:t>在推进自我革命中做正风肃纪反腐的“宣讲员”。中国特色社会主义进入新时代，必须把统一思想、凝聚力量作为宣传思想工作的中心环节，发挥政策解释、舆论导向、鞭挞腐恶、鼓舞人心的关键作用。</w:t>
      </w:r>
    </w:p>
    <w:p>
      <w:pPr>
        <w:ind w:firstLine="640"/>
        <w:jc w:val="both"/>
        <w:rPr>
          <w:rFonts w:hint="default" w:ascii="仿宋" w:hAnsi="仿宋" w:eastAsia="仿宋" w:cs="仿宋"/>
          <w:sz w:val="32"/>
          <w:szCs w:val="32"/>
        </w:rPr>
      </w:pPr>
      <w:r>
        <w:rPr>
          <w:rFonts w:ascii="仿宋" w:hAnsi="仿宋" w:eastAsia="仿宋" w:cs="仿宋"/>
          <w:sz w:val="32"/>
          <w:szCs w:val="32"/>
        </w:rPr>
        <w:t>3.</w:t>
      </w:r>
      <w:r>
        <w:rPr>
          <w:rFonts w:ascii="仿宋" w:hAnsi="仿宋" w:eastAsia="仿宋" w:cs="仿宋"/>
        </w:rPr>
        <w:t xml:space="preserve"> </w:t>
      </w:r>
      <w:r>
        <w:rPr>
          <w:rFonts w:ascii="仿宋" w:hAnsi="仿宋" w:eastAsia="仿宋" w:cs="仿宋"/>
          <w:sz w:val="32"/>
          <w:szCs w:val="32"/>
        </w:rPr>
        <w:t>在推进自我革命中做清正廉洁理念的“传播者”。一体推进不敢腐、不能腐、不想腐，“不想”是根本，要坚持把纪检监察宣传工作作为推进全面从严治党的基础性工作和党的思想政治建设重要内容，着力在宣传教育上多管齐下、打出组合拳。</w:t>
      </w:r>
    </w:p>
    <w:p>
      <w:pPr>
        <w:ind w:firstLine="640"/>
        <w:jc w:val="both"/>
        <w:rPr>
          <w:rFonts w:hint="default" w:ascii="仿宋" w:hAnsi="仿宋" w:eastAsia="仿宋" w:cs="仿宋"/>
          <w:sz w:val="32"/>
          <w:szCs w:val="32"/>
        </w:rPr>
      </w:pPr>
      <w:r>
        <w:rPr>
          <w:rFonts w:ascii="仿宋" w:hAnsi="仿宋" w:eastAsia="仿宋" w:cs="仿宋"/>
          <w:sz w:val="32"/>
          <w:szCs w:val="32"/>
        </w:rPr>
        <w:t>4.</w:t>
      </w:r>
      <w:r>
        <w:rPr>
          <w:rFonts w:ascii="仿宋" w:hAnsi="仿宋" w:eastAsia="仿宋" w:cs="仿宋"/>
        </w:rPr>
        <w:t xml:space="preserve"> </w:t>
      </w:r>
      <w:r>
        <w:rPr>
          <w:rFonts w:ascii="仿宋" w:hAnsi="仿宋" w:eastAsia="仿宋" w:cs="仿宋"/>
          <w:sz w:val="32"/>
          <w:szCs w:val="32"/>
        </w:rPr>
        <w:t>在推进自我革命中做忠诚干净担当的“守护人”。  宣传工作是党的一项极端重要的工作，作为全市纪检监察工作的宣传者，要坚持把政治建设摆在首位，带头加强思想淬炼、政治历练、实践锻炼和专业训练，从严从实抓好自身能力素质建设。</w:t>
      </w:r>
    </w:p>
    <w:p>
      <w:pPr>
        <w:ind w:firstLine="640"/>
        <w:jc w:val="both"/>
        <w:rPr>
          <w:rFonts w:hint="default" w:ascii="楷体" w:hAnsi="楷体" w:eastAsia="楷体" w:cs="楷体"/>
          <w:sz w:val="32"/>
          <w:szCs w:val="32"/>
        </w:rPr>
      </w:pPr>
      <w:r>
        <w:rPr>
          <w:rFonts w:ascii="楷体" w:hAnsi="楷体" w:eastAsia="楷体" w:cs="楷体"/>
          <w:sz w:val="32"/>
          <w:szCs w:val="32"/>
        </w:rPr>
        <w:t>（二）存在的问题</w:t>
      </w:r>
    </w:p>
    <w:p>
      <w:pPr>
        <w:ind w:firstLine="640"/>
        <w:jc w:val="both"/>
        <w:rPr>
          <w:rFonts w:hint="default" w:ascii="仿宋" w:hAnsi="仿宋" w:eastAsia="仿宋" w:cs="仿宋"/>
          <w:sz w:val="32"/>
          <w:szCs w:val="32"/>
        </w:rPr>
      </w:pPr>
      <w:r>
        <w:rPr>
          <w:rFonts w:ascii="仿宋" w:hAnsi="仿宋" w:eastAsia="仿宋" w:cs="仿宋"/>
          <w:sz w:val="32"/>
          <w:szCs w:val="32"/>
        </w:rPr>
        <w:t>纪检监察宣传工作是党的宣传工作的一个重要方面，全媒体时代纪检监察宣传工作面临着这样或者那样的挑战，综合下来，主要有以下几个问题：</w:t>
      </w:r>
    </w:p>
    <w:p>
      <w:pPr>
        <w:pStyle w:val="73"/>
        <w:ind w:firstLine="640"/>
        <w:jc w:val="both"/>
        <w:rPr>
          <w:rFonts w:ascii="仿宋" w:hAnsi="仿宋" w:eastAsia="仿宋" w:cs="仿宋"/>
          <w:sz w:val="32"/>
          <w:szCs w:val="32"/>
        </w:rPr>
      </w:pPr>
      <w:r>
        <w:rPr>
          <w:rFonts w:hint="eastAsia" w:ascii="仿宋" w:hAnsi="仿宋" w:eastAsia="仿宋" w:cs="仿宋"/>
          <w:sz w:val="32"/>
          <w:szCs w:val="32"/>
        </w:rPr>
        <w:t>1.思想认识方面有待进一步提高。</w:t>
      </w:r>
    </w:p>
    <w:p>
      <w:pPr>
        <w:pStyle w:val="73"/>
        <w:ind w:firstLine="640"/>
        <w:jc w:val="both"/>
        <w:rPr>
          <w:rFonts w:ascii="仿宋" w:hAnsi="仿宋" w:eastAsia="仿宋" w:cs="仿宋"/>
          <w:sz w:val="32"/>
          <w:szCs w:val="32"/>
        </w:rPr>
      </w:pPr>
      <w:r>
        <w:rPr>
          <w:rFonts w:hint="eastAsia" w:ascii="仿宋" w:hAnsi="仿宋" w:eastAsia="仿宋" w:cs="仿宋"/>
          <w:sz w:val="32"/>
          <w:szCs w:val="32"/>
        </w:rPr>
        <w:t>2.应用新媒体技术方面有待进一步创新。</w:t>
      </w:r>
    </w:p>
    <w:p>
      <w:pPr>
        <w:pStyle w:val="73"/>
        <w:ind w:firstLine="640"/>
        <w:jc w:val="both"/>
        <w:rPr>
          <w:rFonts w:ascii="仿宋" w:hAnsi="仿宋" w:eastAsia="仿宋" w:cs="仿宋"/>
          <w:sz w:val="32"/>
          <w:szCs w:val="32"/>
        </w:rPr>
      </w:pPr>
      <w:r>
        <w:rPr>
          <w:rFonts w:hint="eastAsia" w:ascii="仿宋" w:hAnsi="仿宋" w:eastAsia="仿宋" w:cs="仿宋"/>
          <w:sz w:val="32"/>
          <w:szCs w:val="32"/>
        </w:rPr>
        <w:t>3.宣传的窗口和平台和宣传手段有待进一步拓展。</w:t>
      </w:r>
    </w:p>
    <w:p>
      <w:pPr>
        <w:ind w:firstLine="640" w:firstLineChars="200"/>
        <w:jc w:val="both"/>
        <w:rPr>
          <w:rFonts w:hint="default" w:ascii="楷体" w:hAnsi="楷体" w:eastAsia="楷体" w:cs="楷体"/>
          <w:sz w:val="32"/>
          <w:szCs w:val="32"/>
        </w:rPr>
      </w:pPr>
      <w:r>
        <w:rPr>
          <w:rFonts w:ascii="楷体" w:hAnsi="楷体" w:eastAsia="楷体" w:cs="楷体"/>
          <w:sz w:val="32"/>
          <w:szCs w:val="32"/>
        </w:rPr>
        <w:t>（三）建议和改进措施</w:t>
      </w:r>
    </w:p>
    <w:p>
      <w:pPr>
        <w:ind w:firstLine="640" w:firstLineChars="200"/>
        <w:jc w:val="both"/>
        <w:rPr>
          <w:rFonts w:hint="default" w:ascii="仿宋" w:hAnsi="仿宋" w:eastAsia="仿宋" w:cs="仿宋"/>
          <w:sz w:val="32"/>
          <w:szCs w:val="32"/>
        </w:rPr>
      </w:pPr>
      <w:r>
        <w:rPr>
          <w:rFonts w:ascii="仿宋" w:hAnsi="仿宋" w:eastAsia="仿宋" w:cs="仿宋"/>
          <w:sz w:val="32"/>
          <w:szCs w:val="32"/>
        </w:rPr>
        <w:t>1.从内外、上下、左右三个维度实现联合。纪检监察宣传工作双重属性决定了必须坚持“广开门路搞宣传”。与主管部门形成内外联动，主动融入全市纪检监察大宣传格局，加强与全市各级纪检监察的沟通联系，建立健全重大主题宣传等工作协调协商机制，及时推介、通报纪检监察工作形势和重点任务，不断巩固拓展纪检监察宣传工作阵地。</w:t>
      </w:r>
    </w:p>
    <w:p>
      <w:pPr>
        <w:ind w:firstLine="640" w:firstLineChars="200"/>
        <w:jc w:val="both"/>
        <w:rPr>
          <w:rFonts w:hint="default" w:ascii="仿宋" w:hAnsi="仿宋" w:eastAsia="仿宋" w:cs="仿宋"/>
          <w:sz w:val="32"/>
          <w:szCs w:val="32"/>
        </w:rPr>
      </w:pPr>
      <w:r>
        <w:rPr>
          <w:rFonts w:ascii="仿宋" w:hAnsi="仿宋" w:eastAsia="仿宋" w:cs="仿宋"/>
          <w:sz w:val="32"/>
          <w:szCs w:val="32"/>
        </w:rPr>
        <w:t>2.</w:t>
      </w:r>
      <w:r>
        <w:rPr>
          <w:rFonts w:ascii="仿宋" w:hAnsi="仿宋" w:eastAsia="仿宋" w:cs="仿宋"/>
        </w:rPr>
        <w:t xml:space="preserve"> </w:t>
      </w:r>
      <w:r>
        <w:rPr>
          <w:rFonts w:ascii="仿宋" w:hAnsi="仿宋" w:eastAsia="仿宋" w:cs="仿宋"/>
          <w:sz w:val="32"/>
          <w:szCs w:val="32"/>
        </w:rPr>
        <w:t>从理论和实践、宣传和舆情、教育和文化三个方面把握内容结合。巩固和提升内容品质，丰富内容表达，注重理论与实践相结合，要把镜头、笔头对准基层，挖掘一线工作的特色亮点，总结提升实践经验，用以指导工作。要注重宣传方向与舆情导向相结合。舆情是工作效果的反映，网络上有什么样的舆情反映，宣传引导就朝哪个方向努力，让该说的说到位，实现宣传与舆情良性互动。</w:t>
      </w:r>
    </w:p>
    <w:p>
      <w:pPr>
        <w:ind w:firstLine="640" w:firstLineChars="200"/>
        <w:jc w:val="both"/>
        <w:rPr>
          <w:rFonts w:hint="default" w:ascii="仿宋" w:hAnsi="仿宋" w:eastAsia="仿宋" w:cs="仿宋"/>
          <w:sz w:val="32"/>
          <w:szCs w:val="32"/>
        </w:rPr>
      </w:pPr>
      <w:r>
        <w:rPr>
          <w:rFonts w:ascii="仿宋" w:hAnsi="仿宋" w:eastAsia="仿宋" w:cs="仿宋"/>
          <w:sz w:val="32"/>
          <w:szCs w:val="32"/>
        </w:rPr>
        <w:t>3.</w:t>
      </w:r>
      <w:r>
        <w:rPr>
          <w:rFonts w:ascii="仿宋" w:hAnsi="仿宋" w:eastAsia="仿宋" w:cs="仿宋"/>
        </w:rPr>
        <w:t xml:space="preserve"> </w:t>
      </w:r>
      <w:r>
        <w:rPr>
          <w:rFonts w:ascii="仿宋" w:hAnsi="仿宋" w:eastAsia="仿宋" w:cs="仿宋"/>
          <w:sz w:val="32"/>
          <w:szCs w:val="32"/>
        </w:rPr>
        <w:t>从理念、机制、技术三项创新引领媒体融合。形成立体多样、融合发展的现代传播体系是党中央作出的战略性部署，要顺应时代潮流，创新发展理念，在内容、渠道、平台、管理等方面深度融合且一体化发展，创新运用机制，借助媒体融合发展契机，打造反映收集社情民意的“晴雨表”，搭起联系和服务群众的“连心桥”，走好融媒体时代群众路线。</w:t>
      </w:r>
    </w:p>
    <w:p>
      <w:pPr>
        <w:jc w:val="both"/>
        <w:rPr>
          <w:rFonts w:hint="default" w:ascii="仿宋" w:hAnsi="仿宋" w:eastAsia="仿宋" w:cs="仿宋"/>
          <w:sz w:val="32"/>
          <w:szCs w:val="32"/>
        </w:rPr>
      </w:pPr>
      <w:r>
        <w:rPr>
          <w:rFonts w:ascii="仿宋" w:hAnsi="仿宋" w:eastAsia="仿宋" w:cs="仿宋"/>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hint="default" w:ascii="楷体_GB2312" w:eastAsia="楷体_GB2312" w:cs="楷体_GB2312"/>
          <w:sz w:val="32"/>
          <w:szCs w:val="32"/>
        </w:rPr>
        <w:t xml:space="preserve"> </w:t>
      </w:r>
    </w:p>
    <w:p>
      <w:pPr>
        <w:jc w:val="both"/>
        <w:rPr>
          <w:rFonts w:hint="default" w:ascii="楷体_GB2312" w:eastAsia="楷体_GB2312" w:cs="楷体_GB2312"/>
          <w:sz w:val="32"/>
          <w:szCs w:val="32"/>
        </w:rPr>
      </w:pPr>
      <w:r>
        <w:rPr>
          <w:rFonts w:cs="宋体"/>
          <w:sz w:val="32"/>
          <w:szCs w:val="32"/>
        </w:rPr>
        <w:t>项目十一：</w:t>
      </w:r>
    </w:p>
    <w:p>
      <w:pPr>
        <w:jc w:val="center"/>
        <w:rPr>
          <w:rFonts w:hint="default" w:ascii="方正小标宋简体" w:hAnsi="方正小标宋简体" w:cs="宋体"/>
          <w:sz w:val="44"/>
          <w:szCs w:val="44"/>
        </w:rPr>
      </w:pPr>
      <w:r>
        <w:rPr>
          <w:rFonts w:cs="宋体"/>
          <w:sz w:val="44"/>
          <w:szCs w:val="44"/>
        </w:rPr>
        <w:t>第十届书香昆明系列活动项目</w:t>
      </w:r>
    </w:p>
    <w:p>
      <w:pPr>
        <w:jc w:val="center"/>
        <w:rPr>
          <w:rFonts w:hint="default" w:ascii="方正小标宋简体" w:hAnsi="方正小标宋简体" w:eastAsia="方正小标宋简体" w:cs="方正小标宋简体"/>
          <w:sz w:val="44"/>
          <w:szCs w:val="44"/>
        </w:rPr>
      </w:pPr>
      <w:r>
        <w:rPr>
          <w:rFonts w:cs="宋体"/>
          <w:sz w:val="44"/>
          <w:szCs w:val="44"/>
        </w:rPr>
        <w:t>支出绩效自评报告</w:t>
      </w:r>
    </w:p>
    <w:p>
      <w:pPr>
        <w:topLinePunct/>
        <w:spacing w:line="440" w:lineRule="exact"/>
        <w:ind w:firstLine="600" w:firstLineChars="250"/>
        <w:jc w:val="both"/>
        <w:rPr>
          <w:rFonts w:hint="default" w:ascii="黑体" w:eastAsia="黑体" w:cs="黑体"/>
        </w:rPr>
      </w:pPr>
      <w:r>
        <w:rPr>
          <w:rFonts w:ascii="黑体" w:eastAsia="黑体" w:cs="黑体"/>
        </w:rPr>
        <w:t xml:space="preserve"> </w:t>
      </w:r>
    </w:p>
    <w:p>
      <w:pPr>
        <w:topLinePunct/>
        <w:spacing w:line="560" w:lineRule="exact"/>
        <w:ind w:firstLine="640" w:firstLineChars="200"/>
        <w:jc w:val="both"/>
        <w:rPr>
          <w:rFonts w:hint="default" w:ascii="黑体" w:eastAsia="黑体" w:cs="黑体"/>
          <w:sz w:val="32"/>
          <w:szCs w:val="32"/>
        </w:rPr>
      </w:pPr>
      <w:r>
        <w:rPr>
          <w:rFonts w:ascii="黑体" w:eastAsia="黑体" w:cs="黑体"/>
          <w:sz w:val="32"/>
          <w:szCs w:val="32"/>
        </w:rPr>
        <w:t>一、项目基本情况</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（一）项目概况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1.立项背景及目的</w:t>
      </w:r>
    </w:p>
    <w:p>
      <w:pPr>
        <w:spacing w:line="4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为深入学习贯彻习近平总书记在中国文联第十一次全国代表大会、中国作协第十次全国代表大会上发表的重要讲话精神，贯彻落实省委宣传部工作要求，昆明市委市政府关于深入实施文化引领发展战略的安排部署，引导大众多读书、读好书，建设书香昆明，推动全民阅读，经研究决定举办第十届书香昆明系列活动。</w:t>
      </w:r>
    </w:p>
    <w:p>
      <w:pPr>
        <w:spacing w:line="4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以推动全民阅读、建设书香昆明为理念的书香昆明系列活动是云南省和昆明市的知名文化品牌活动，从2012年至今已举办十届，成为组织、服务、推广全民阅读的重要平台。在这十年中，我们因书相聚，因书相识，传递书香力量，打造书香昆明。经过书香昆明的持续推动，我们欣喜地看到，爱读书、读好书、善读书的昆明读者越来越多，昆明的阅读氛围越来越浓厚。</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于此背景，受昆明市委宣传部委托，昆明报业传媒集团（昆明日报社）于2022年3月启动第十届书香昆明系列活动的相关工作。</w:t>
      </w:r>
    </w:p>
    <w:p>
      <w:pPr>
        <w:spacing w:line="4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该活动申请昆明市文艺精品创作专项扶持资金26万元。</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第十届书香昆明系列活动由中共云南省委宣传部指导，中共昆明市委宣传部、昆明市文化和旅游局主办，昆明报业传媒集团</w:t>
      </w:r>
      <w:r>
        <w:rPr>
          <w:rFonts w:ascii="微软雅黑" w:hAnsi="微软雅黑" w:eastAsia="微软雅黑" w:cs="微软雅黑"/>
          <w:sz w:val="32"/>
          <w:szCs w:val="32"/>
        </w:rPr>
        <w:t>•</w:t>
      </w:r>
      <w:r>
        <w:rPr>
          <w:rFonts w:ascii="仿宋" w:hAnsi="仿宋" w:eastAsia="仿宋" w:cs="仿宋"/>
          <w:sz w:val="32"/>
          <w:szCs w:val="32"/>
        </w:rPr>
        <w:t>都市时报、昆明新华书店连锁有限公司承办。</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活动以“书香十年 阅见美好”为主题，包括阅读之声——春城好声音系列、阅读雅集——读书会系列、阅读青春——高校书香系列、阅读之光——好书与阅读空间评选系列、阅读盛宴——嘉年华系列五大板块百余项活动。</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与往届相比内容更丰富、更具创新、规模更大、辐射面更广、创意与体验感更强。系列活动于2022年3月18日启动，呈现出以下亮点：</w:t>
      </w:r>
    </w:p>
    <w:p>
      <w:pPr>
        <w:topLinePunct/>
        <w:spacing w:line="560" w:lineRule="exact"/>
        <w:ind w:left="638" w:leftChars="266"/>
        <w:jc w:val="both"/>
        <w:rPr>
          <w:rFonts w:hint="default" w:ascii="仿宋" w:hAnsi="仿宋" w:eastAsia="仿宋" w:cs="仿宋"/>
          <w:kern w:val="2"/>
          <w:sz w:val="32"/>
          <w:szCs w:val="32"/>
          <w:shd w:val="clear" w:color="auto" w:fill="FFFFFF"/>
        </w:rPr>
      </w:pPr>
      <w:r>
        <w:rPr>
          <w:rFonts w:ascii="仿宋" w:hAnsi="仿宋" w:eastAsia="仿宋" w:cs="仿宋"/>
          <w:sz w:val="32"/>
          <w:szCs w:val="32"/>
        </w:rPr>
        <w:t>一是内容更加丰富多元，推出五大板块百余项活动；</w:t>
      </w:r>
      <w:r>
        <w:rPr>
          <w:rFonts w:ascii="仿宋" w:hAnsi="仿宋" w:eastAsia="仿宋" w:cs="仿宋"/>
          <w:kern w:val="2"/>
          <w:sz w:val="32"/>
          <w:szCs w:val="32"/>
          <w:shd w:val="clear" w:color="auto" w:fill="FFFFFF"/>
        </w:rPr>
        <w:t>二是品牌内容有创新。最受关注的好书评选系列活动新增了经济好书评选及“书香十年经典好书”评选，四类51种获奖好书出炉，传递阅读之光，让更多的读者从好书中汲取精神力量;</w:t>
      </w:r>
    </w:p>
    <w:p>
      <w:pPr>
        <w:topLinePunct/>
        <w:spacing w:line="560" w:lineRule="exact"/>
        <w:ind w:firstLine="640" w:firstLineChars="200"/>
        <w:jc w:val="both"/>
        <w:rPr>
          <w:rFonts w:hint="default" w:ascii="仿宋" w:hAnsi="仿宋" w:eastAsia="仿宋" w:cs="仿宋"/>
          <w:kern w:val="2"/>
          <w:sz w:val="32"/>
          <w:szCs w:val="32"/>
          <w:shd w:val="clear" w:color="auto" w:fill="FFFFFF"/>
        </w:rPr>
      </w:pPr>
      <w:r>
        <w:rPr>
          <w:rFonts w:ascii="仿宋" w:hAnsi="仿宋" w:eastAsia="仿宋" w:cs="仿宋"/>
          <w:kern w:val="2"/>
          <w:sz w:val="32"/>
          <w:szCs w:val="32"/>
          <w:shd w:val="clear" w:color="auto" w:fill="FFFFFF"/>
        </w:rPr>
        <w:t>三是首次推出文创产品。首次推出的书香昆明系列文创产品包括好书盲袋、徽章、书签等6种类别，将阅读、文创、艺术、书香、花草香等完美融合；</w:t>
      </w:r>
    </w:p>
    <w:p>
      <w:pPr>
        <w:topLinePunct/>
        <w:spacing w:line="560" w:lineRule="exact"/>
        <w:ind w:firstLine="640" w:firstLineChars="200"/>
        <w:jc w:val="both"/>
        <w:rPr>
          <w:rFonts w:hint="default" w:ascii="仿宋" w:hAnsi="仿宋" w:eastAsia="仿宋" w:cs="仿宋"/>
          <w:kern w:val="2"/>
          <w:sz w:val="32"/>
          <w:szCs w:val="32"/>
          <w:shd w:val="clear" w:color="auto" w:fill="FFFFFF"/>
        </w:rPr>
      </w:pPr>
      <w:r>
        <w:rPr>
          <w:rFonts w:ascii="仿宋" w:hAnsi="仿宋" w:eastAsia="仿宋" w:cs="仿宋"/>
          <w:kern w:val="2"/>
          <w:sz w:val="32"/>
          <w:szCs w:val="32"/>
          <w:shd w:val="clear" w:color="auto" w:fill="FFFFFF"/>
        </w:rPr>
        <w:t>四是首次在线上推出“春城好声音”。春城好声音活动在历年活动评选出的云南好书中甄选10部经典作品片段，通过H5平台，以领读者加代言人的形式，吸引大众参与，在线上打造有春城名片意义的春城好声音专辑；</w:t>
      </w:r>
    </w:p>
    <w:p>
      <w:pPr>
        <w:topLinePunct/>
        <w:spacing w:line="560" w:lineRule="exact"/>
        <w:ind w:firstLine="640" w:firstLineChars="200"/>
        <w:jc w:val="both"/>
        <w:rPr>
          <w:rFonts w:hint="default" w:ascii="仿宋" w:hAnsi="仿宋" w:eastAsia="仿宋" w:cs="仿宋"/>
          <w:kern w:val="2"/>
          <w:sz w:val="32"/>
          <w:szCs w:val="32"/>
          <w:shd w:val="clear" w:color="auto" w:fill="FFFFFF"/>
        </w:rPr>
      </w:pPr>
      <w:r>
        <w:rPr>
          <w:rFonts w:ascii="仿宋" w:hAnsi="仿宋" w:eastAsia="仿宋" w:cs="仿宋"/>
          <w:kern w:val="2"/>
          <w:sz w:val="32"/>
          <w:szCs w:val="32"/>
          <w:shd w:val="clear" w:color="auto" w:fill="FFFFFF"/>
        </w:rPr>
        <w:t>五是评选阅读空间。首次推出的最美阅读空间系列评选活动串联起来昆明各地独具特色的阅读场所，照亮了城市的精神领地，吸引了昆明全市近120家阅读空间报名参加，评选出五类53个最美阅读空间。</w:t>
      </w:r>
    </w:p>
    <w:p>
      <w:pPr>
        <w:topLinePunct/>
        <w:spacing w:line="560" w:lineRule="exact"/>
        <w:ind w:firstLine="640" w:firstLineChars="200"/>
        <w:jc w:val="both"/>
        <w:rPr>
          <w:rFonts w:hint="default" w:ascii="仿宋" w:hAnsi="仿宋" w:eastAsia="仿宋" w:cs="仿宋"/>
          <w:kern w:val="2"/>
          <w:sz w:val="32"/>
          <w:szCs w:val="32"/>
          <w:shd w:val="clear" w:color="auto" w:fill="FFFFFF"/>
        </w:rPr>
      </w:pPr>
      <w:r>
        <w:rPr>
          <w:rFonts w:ascii="仿宋" w:hAnsi="仿宋" w:eastAsia="仿宋" w:cs="仿宋"/>
          <w:kern w:val="2"/>
          <w:sz w:val="32"/>
          <w:szCs w:val="32"/>
          <w:shd w:val="clear" w:color="auto" w:fill="FFFFFF"/>
        </w:rPr>
        <w:t>第十届书香昆明系列活动线上线下联动，走进企事业单位、高校、农村、书店、图书馆等地，持续推动“书香广进”，播撒阅读种子，让好书与阅读的影响力辐射到更广阔的领域。系列活动在昆明掀起了一股阅读热潮，据统计，第十届书香昆明系列活动目前已吸引了近百万嘉宾、读者、网友参与其中，收获众多好评。</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3.资金来源及使用情况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申请昆明市文艺精品创作专项扶持资金26万元。项目完成率100%，达到年度绩效目标。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4.组织及管理情况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包括项目组织情况、项目实施流程、资金拨付流程。</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（1）项目组织情况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第十届书香昆明系列活动由中共云南省委宣传部指导，中共昆明市委宣传部、昆明市文化和旅游局主办，昆明报业传媒集团</w:t>
      </w:r>
      <w:r>
        <w:rPr>
          <w:rFonts w:ascii="微软雅黑" w:hAnsi="微软雅黑" w:eastAsia="微软雅黑" w:cs="微软雅黑"/>
          <w:sz w:val="32"/>
          <w:szCs w:val="32"/>
        </w:rPr>
        <w:t>•</w:t>
      </w:r>
      <w:r>
        <w:rPr>
          <w:rFonts w:ascii="仿宋" w:hAnsi="仿宋" w:eastAsia="仿宋" w:cs="仿宋"/>
          <w:sz w:val="32"/>
          <w:szCs w:val="32"/>
        </w:rPr>
        <w:t>都市时报、昆明新华书店连锁有限公司承办。</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（2）项目实施流程</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第一阶段：活动筹备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撰写第十届书香昆明系列活动方案，确定活动视觉方案、文创产品设计方案，撰写各项活动视频文案，联系相关单位及嘉宾。</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第二阶段：活动推进</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正式启动第十届书香昆明系列活动，包括好书评选、阅读雅集、高校活动、阅读空间评选等。4月23日推出嘉年华，7月14日推出颁奖礼。</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第三阶段：结项验收</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评审系列活动各项获奖名单，推出颁奖礼，对系列活动进行全媒体矩阵报道。</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（3）资金拨付流程</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项目经费26万元，经过2022年初预算、执行、跟踪及决算等流程，资金已全部拨付到位。截至2022年7月，全部资金已执行完毕，执行金额26万元，执行完成率100%。</w:t>
      </w:r>
    </w:p>
    <w:p>
      <w:pPr>
        <w:topLinePunct/>
        <w:spacing w:line="56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1.数量指标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（1）评选出“书香昆明”好书，指标值为4类51种；</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（2）评选出最美阅读空间，指标值为5类53个；</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（3）举办线上线下阅读活动，指标值为100余场；</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（4）推出春城好声音专辑，指标值为一个；</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（5）推出“书香昆明”文创产品，指标值为1套6种。</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2.质量指标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按照项目实施方案要求于2022年3月18日到7月14日第十届“书香昆明”全民阅读系列活动，包括五大板块百余项活动：阅读之光——好书与阅读空间评选系列、阅读之声——春城好声音系列、阅读雅集——读书会系列、阅读青春——高校书香系列、阅读盛宴——嘉年华系列。其中完成率指标值为100%，好评率指标值为98%。</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3.成本指标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成本指标中的项目预算控制数为26万。</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4.社会效益</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展现书香昆明系列活动的精彩十年，歌颂新时代新成就，更好地满足人民文化需求，推动全民阅读，铸就文化新辉煌。</w:t>
      </w:r>
    </w:p>
    <w:p>
      <w:pPr>
        <w:ind w:firstLine="640" w:firstLineChars="200"/>
        <w:jc w:val="both"/>
        <w:rPr>
          <w:rFonts w:hint="default" w:ascii="仿宋" w:hAnsi="仿宋" w:eastAsia="仿宋" w:cs="仿宋"/>
          <w:sz w:val="32"/>
          <w:szCs w:val="32"/>
        </w:rPr>
      </w:pPr>
      <w:r>
        <w:rPr>
          <w:rFonts w:ascii="仿宋" w:hAnsi="仿宋" w:eastAsia="仿宋" w:cs="仿宋"/>
          <w:sz w:val="32"/>
          <w:szCs w:val="32"/>
        </w:rPr>
        <w:t>5.可持续影响</w:t>
      </w:r>
    </w:p>
    <w:p>
      <w:pPr>
        <w:ind w:firstLine="640" w:firstLineChars="200"/>
        <w:jc w:val="both"/>
        <w:rPr>
          <w:rFonts w:hint="default" w:ascii="仿宋" w:hAnsi="仿宋" w:eastAsia="仿宋" w:cs="仿宋"/>
          <w:sz w:val="32"/>
          <w:szCs w:val="32"/>
        </w:rPr>
      </w:pPr>
      <w:r>
        <w:rPr>
          <w:rFonts w:ascii="仿宋" w:hAnsi="仿宋" w:eastAsia="仿宋" w:cs="仿宋"/>
          <w:sz w:val="32"/>
          <w:szCs w:val="32"/>
        </w:rPr>
        <w:t>“书香昆明”全民阅读系列活动已经连续举办十年，形成较好的正面影响力。入选云南省公共文化服务高质量发展典型案例。</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6.服务对象满意度</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服务对象及大众满意度较高。</w:t>
      </w:r>
    </w:p>
    <w:p>
      <w:pPr>
        <w:topLinePunct/>
        <w:spacing w:line="560" w:lineRule="exact"/>
        <w:ind w:firstLine="800" w:firstLineChars="250"/>
        <w:jc w:val="both"/>
        <w:rPr>
          <w:rFonts w:hint="default" w:ascii="黑体" w:eastAsia="黑体" w:cs="黑体"/>
          <w:sz w:val="32"/>
          <w:szCs w:val="32"/>
        </w:rPr>
      </w:pPr>
      <w:r>
        <w:rPr>
          <w:rFonts w:ascii="黑体" w:eastAsia="黑体" w:cs="黑体"/>
          <w:sz w:val="32"/>
          <w:szCs w:val="32"/>
        </w:rPr>
        <w:t>二、绩效评价工作情况</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为强化预算绩效管理结果运用，增强支出责任，优化财政资源配置，提高财政资金使用效益，推进财政科学化精细化管理，根据市财政局绩效管理相关，进行绩效评价指标体系设计。</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1.绩效评价原则。包括科学规范、公开公正、绩效相关等原则。</w:t>
      </w:r>
    </w:p>
    <w:p>
      <w:pPr>
        <w:topLinePunct/>
        <w:spacing w:line="560" w:lineRule="exact"/>
        <w:ind w:firstLine="800" w:firstLineChars="250"/>
        <w:jc w:val="both"/>
        <w:rPr>
          <w:rFonts w:hint="default" w:ascii="仿宋" w:hAnsi="仿宋" w:eastAsia="仿宋" w:cs="仿宋"/>
          <w:sz w:val="32"/>
          <w:szCs w:val="32"/>
        </w:rPr>
      </w:pPr>
      <w:r>
        <w:rPr>
          <w:rFonts w:ascii="仿宋" w:hAnsi="仿宋" w:eastAsia="仿宋" w:cs="仿宋"/>
          <w:sz w:val="32"/>
          <w:szCs w:val="32"/>
        </w:rPr>
        <w:t>2.绩效评价方法。包括指标评价、数据采集和社会调查中所采用的方法。</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（一）绩效评价实施过程</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根据项目实际开展情况及第三方测评、验收情况，综合评价后得出最终结果。</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根据该项目的实施情况，结合目前各项数据积累，对项目进行分析，以形成最终报告。</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（二）本次绩效评价的局限性</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社会效益指标、可持续影响指标属于长期性指标，故无法对效果和成果做定量化的评价。</w:t>
      </w:r>
    </w:p>
    <w:p>
      <w:pPr>
        <w:topLinePunct/>
        <w:spacing w:line="560" w:lineRule="exact"/>
        <w:ind w:firstLine="640" w:firstLineChars="200"/>
        <w:jc w:val="both"/>
        <w:rPr>
          <w:rFonts w:hint="default" w:ascii="黑体" w:eastAsia="黑体" w:cs="黑体"/>
          <w:sz w:val="32"/>
          <w:szCs w:val="32"/>
        </w:rPr>
      </w:pPr>
      <w:r>
        <w:rPr>
          <w:rFonts w:ascii="黑体" w:eastAsia="黑体" w:cs="黑体"/>
          <w:sz w:val="32"/>
          <w:szCs w:val="32"/>
        </w:rPr>
        <w:t>三、评价结论和绩效分析</w:t>
      </w:r>
    </w:p>
    <w:p>
      <w:pPr>
        <w:topLinePunct/>
        <w:spacing w:line="56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topLinePunct/>
        <w:spacing w:line="56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绩效自评结果采取量化评分和定性评级相结合的形式，量化分值一般为百分制。可分为四个等级：优（得分≧90）；良（90﹥得分≧80）；中（80﹥得分≧60）；差（得分﹤60）。</w:t>
      </w:r>
    </w:p>
    <w:p>
      <w:pPr>
        <w:topLinePunct/>
        <w:spacing w:line="56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整体支出绩效自评结果：作为考核部门年度预算绩效管理工作开展情况的依据。</w:t>
      </w:r>
    </w:p>
    <w:p>
      <w:pPr>
        <w:topLinePunct/>
        <w:spacing w:line="56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项目支出绩效自评结果：绩效自评结果为“优”，在安排预算时应予以优先支持；绩效自评结果为“良”，在安排预算时可继续支持；绩效自评结果为“中”，部门应及时进行整改，并根据整改情况调整项目或扣减下一年度同类项目资金预算的10%；绩效自评结果为“差”，部门不仅要进行整改，同时暂停安排拨付资金或取消下一年度该项目资金预算，根据整改情况确定以后年度是否继续予以支持。</w:t>
      </w:r>
    </w:p>
    <w:p>
      <w:pPr>
        <w:topLinePunct/>
        <w:spacing w:line="56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2.主要绩效</w:t>
      </w:r>
    </w:p>
    <w:p>
      <w:pPr>
        <w:topLinePunct/>
        <w:spacing w:line="56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第十届书香昆明系列活动线上线下联动，走进企事业单位、高校、农村、书店、图书馆等地，持续推动“书香广进”，播撒阅读种子，让好书与阅读的影响力辐射到更广阔的领域。</w:t>
      </w:r>
    </w:p>
    <w:p>
      <w:pPr>
        <w:topLinePunct/>
        <w:spacing w:line="56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系列活动在昆明掀起了一股阅读热潮，据统计，第十届书香昆明系列活动目前已吸引了近百万嘉宾、读者、网友参与其中，收获众多好评。</w:t>
      </w:r>
    </w:p>
    <w:p>
      <w:pPr>
        <w:topLinePunct/>
        <w:spacing w:line="56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为了满足人民群众多样化、多层次、多方面的精神文化需求。我们更好地打造“书香昆明”系列活动，迎接宣传党的二十大，歌颂新时代新成就，更好地满足人民文化需求，更好地推动全民阅读，开拓文艺新境界，铸就文化新辉煌。</w:t>
      </w:r>
    </w:p>
    <w:p>
      <w:pPr>
        <w:topLinePunct/>
        <w:spacing w:line="560" w:lineRule="exact"/>
        <w:ind w:firstLine="640" w:firstLineChars="200"/>
        <w:jc w:val="both"/>
        <w:rPr>
          <w:rFonts w:hint="default" w:ascii="黑体" w:eastAsia="黑体" w:cs="黑体"/>
          <w:sz w:val="32"/>
          <w:szCs w:val="32"/>
        </w:rPr>
      </w:pPr>
      <w:r>
        <w:rPr>
          <w:rFonts w:ascii="黑体" w:eastAsia="黑体" w:cs="黑体"/>
          <w:sz w:val="32"/>
          <w:szCs w:val="32"/>
        </w:rPr>
        <w:t>四、成本效益分析</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对资金使用方向、资金收入和支出结构；项目和资金管理情况；资金的节约性、资金使用效果；变化趋势等进行分析评价。</w:t>
      </w:r>
    </w:p>
    <w:p>
      <w:pPr>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1.经济性分析：截至2022年12月，昆明市文艺精品创作专项扶持资金26万，项目完成比率100%，资金支付100%，完成年度绩效目标。</w:t>
      </w:r>
    </w:p>
    <w:p>
      <w:pPr>
        <w:autoSpaceDN w:val="0"/>
        <w:spacing w:line="56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rPr>
        <w:t>2.效益分析：坚持开展“书香昆明”系列活动，是昆明城市文化气质的彰显，也是这座城市市民阅读品位的体现。今后，我们将进一步增强在阅读中弘扬主流价值的信心与责任感，建立完善长效的运行、管理机制，聚焦树品牌、提品质、扩规模、搭平台，不断扩大活动的辐射面、影响力、知名度，让书香昆明系列活动成为知名文化IP，打造成展示全民阅读发展成果的载体，把品牌擦得越来越亮，为昆明建设区域性国际人文交流中心做出新的更大贡献。</w:t>
      </w:r>
    </w:p>
    <w:p>
      <w:pPr>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shd w:val="clear" w:color="auto" w:fill="FFFFFF"/>
        </w:rPr>
        <w:t>3.服务对象满意度：根据本项目的具体实施及执行情况，对服务对象进行走访调查，总体满意度98%以上。</w:t>
      </w:r>
    </w:p>
    <w:p>
      <w:pPr>
        <w:pStyle w:val="73"/>
        <w:topLinePunct/>
        <w:spacing w:line="560" w:lineRule="exact"/>
        <w:ind w:firstLine="640"/>
        <w:jc w:val="both"/>
        <w:rPr>
          <w:rFonts w:ascii="黑体" w:hAnsi="宋体" w:eastAsia="黑体" w:cs="黑体"/>
          <w:sz w:val="32"/>
          <w:szCs w:val="32"/>
        </w:rPr>
      </w:pPr>
      <w:r>
        <w:rPr>
          <w:rFonts w:hint="eastAsia" w:ascii="黑体" w:hAnsi="宋体" w:eastAsia="黑体" w:cs="黑体"/>
          <w:sz w:val="32"/>
          <w:szCs w:val="32"/>
        </w:rPr>
        <w:t>五、主要经验及做法、存在的问题和建议</w:t>
      </w:r>
    </w:p>
    <w:p>
      <w:pPr>
        <w:pStyle w:val="73"/>
        <w:topLinePunct/>
        <w:spacing w:line="560" w:lineRule="exact"/>
        <w:ind w:firstLine="640"/>
        <w:jc w:val="both"/>
        <w:rPr>
          <w:rFonts w:ascii="楷体" w:hAnsi="楷体" w:eastAsia="楷体" w:cs="楷体"/>
          <w:sz w:val="32"/>
          <w:szCs w:val="32"/>
        </w:rPr>
      </w:pPr>
      <w:r>
        <w:rPr>
          <w:rFonts w:hint="eastAsia" w:ascii="楷体" w:hAnsi="楷体" w:eastAsia="楷体" w:cs="楷体"/>
          <w:sz w:val="32"/>
          <w:szCs w:val="32"/>
        </w:rPr>
        <w:t>（一）主要经验及做法</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第十届书香昆明系列活动内容更丰富、规模更大、辐射面更广、创意与体验感更强。构建“预算绩效有评估、预算编制有目标、预算执行有监控、预算完成有评价、评价结果有反馈、反馈结果有应用”的“全过程”绩效管理。开展支出预算事前绩效评估，进行重点项目绩效目标跟踪监控和事后评价，才能有条不紊地围绕项目绩效管理推进各项工作开展。</w:t>
      </w:r>
    </w:p>
    <w:p>
      <w:pPr>
        <w:pStyle w:val="73"/>
        <w:topLinePunct/>
        <w:spacing w:line="560" w:lineRule="exact"/>
        <w:ind w:firstLine="640"/>
        <w:jc w:val="both"/>
        <w:rPr>
          <w:rFonts w:ascii="楷体" w:hAnsi="楷体" w:eastAsia="楷体" w:cs="楷体"/>
          <w:sz w:val="32"/>
          <w:szCs w:val="32"/>
        </w:rPr>
      </w:pPr>
      <w:r>
        <w:rPr>
          <w:rFonts w:hint="eastAsia" w:ascii="楷体" w:hAnsi="楷体" w:eastAsia="楷体" w:cs="楷体"/>
          <w:sz w:val="32"/>
          <w:szCs w:val="32"/>
        </w:rPr>
        <w:t>（二）存在的问题</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项目组成员对绩效评价认知不足，专业能力有待进一步加强。</w:t>
      </w:r>
    </w:p>
    <w:p>
      <w:pPr>
        <w:pStyle w:val="73"/>
        <w:topLinePunct/>
        <w:spacing w:line="560" w:lineRule="exact"/>
        <w:ind w:firstLine="640"/>
        <w:jc w:val="both"/>
        <w:rPr>
          <w:rFonts w:ascii="楷体" w:hAnsi="楷体" w:eastAsia="楷体" w:cs="楷体"/>
          <w:sz w:val="32"/>
          <w:szCs w:val="32"/>
        </w:rPr>
      </w:pPr>
      <w:r>
        <w:rPr>
          <w:rFonts w:hint="eastAsia" w:ascii="楷体" w:hAnsi="楷体" w:eastAsia="楷体" w:cs="楷体"/>
          <w:sz w:val="32"/>
          <w:szCs w:val="32"/>
        </w:rPr>
        <w:t>（三）建议和改进措施</w:t>
      </w:r>
    </w:p>
    <w:p>
      <w:pPr>
        <w:topLinePunct/>
        <w:spacing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2023年，将按照财政预算安排编制项目支出绩效目标，科学有序地进行绩效测算，同时进一步加强项目管理，积极与市级相关部门对接，牢固树立绩效管理理念。继续完善“书香昆明”系列活动的各项项目，更进一步打造集组织、服务、推广全民阅读于一体的重要平台。</w:t>
      </w:r>
    </w:p>
    <w:p>
      <w:pPr>
        <w:pStyle w:val="2"/>
      </w:pPr>
      <w:r>
        <w:t xml:space="preserve"> </w:t>
      </w:r>
    </w:p>
    <w:p>
      <w:pPr>
        <w:jc w:val="both"/>
        <w:rPr>
          <w:rFonts w:hint="default" w:ascii="楷体_GB2312" w:eastAsia="楷体_GB2312" w:cs="楷体_GB2312"/>
          <w:sz w:val="32"/>
          <w:szCs w:val="32"/>
        </w:rPr>
      </w:pPr>
      <w:r>
        <w:rPr>
          <w:rFonts w:cs="宋体"/>
        </w:rPr>
        <w:t xml:space="preserve"> </w:t>
      </w:r>
      <w:r>
        <w:rPr>
          <w:rFonts w:hint="default" w:ascii="Times New Roman" w:hAnsi="Times New Roman"/>
          <w:kern w:val="2"/>
          <w:sz w:val="21"/>
          <w:szCs w:val="21"/>
        </w:rPr>
        <w:t xml:space="preserve"> </w:t>
      </w:r>
      <w:r>
        <w:rPr>
          <w:rFonts w:cs="宋体"/>
          <w:sz w:val="32"/>
          <w:szCs w:val="32"/>
        </w:rPr>
        <w:t>项目十二：</w:t>
      </w:r>
    </w:p>
    <w:p>
      <w:pPr>
        <w:spacing w:line="600" w:lineRule="exact"/>
        <w:jc w:val="center"/>
        <w:rPr>
          <w:rFonts w:hint="default" w:ascii="方正小标宋简体" w:hAnsi="方正小标宋简体" w:eastAsia="方正小标宋简体" w:cs="方正小标宋简体"/>
          <w:sz w:val="44"/>
          <w:szCs w:val="44"/>
        </w:rPr>
      </w:pPr>
      <w:r>
        <w:rPr>
          <w:rFonts w:cs="宋体"/>
          <w:sz w:val="44"/>
          <w:szCs w:val="44"/>
        </w:rPr>
        <w:t>互联网新闻宣传和政务服务项目</w:t>
      </w:r>
    </w:p>
    <w:p>
      <w:pPr>
        <w:spacing w:line="600" w:lineRule="exact"/>
        <w:jc w:val="center"/>
        <w:rPr>
          <w:rFonts w:hint="default" w:ascii="方正小标宋简体" w:hAnsi="方正小标宋简体" w:eastAsia="方正小标宋简体" w:cs="方正小标宋简体"/>
          <w:sz w:val="44"/>
          <w:szCs w:val="44"/>
        </w:rPr>
      </w:pPr>
      <w:r>
        <w:rPr>
          <w:rFonts w:cs="宋体"/>
          <w:sz w:val="44"/>
          <w:szCs w:val="44"/>
        </w:rPr>
        <w:t>支出绩效自评报告</w:t>
      </w:r>
    </w:p>
    <w:p>
      <w:pPr>
        <w:topLinePunct/>
        <w:spacing w:line="600" w:lineRule="exact"/>
        <w:ind w:firstLine="640" w:firstLineChars="200"/>
        <w:jc w:val="both"/>
        <w:rPr>
          <w:rFonts w:hint="default" w:ascii="黑体" w:hAnsi="Calibri" w:eastAsia="黑体" w:cs="黑体"/>
          <w:sz w:val="32"/>
          <w:szCs w:val="32"/>
        </w:rPr>
      </w:pPr>
      <w:r>
        <w:rPr>
          <w:rFonts w:ascii="黑体" w:hAnsi="Calibri" w:eastAsia="黑体" w:cs="黑体"/>
          <w:sz w:val="32"/>
          <w:szCs w:val="32"/>
        </w:rPr>
        <w:t xml:space="preserve"> </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一、项目基本情况</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（一）项目概况</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1.项目立项背景及目的</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2008年1月，市委九届四次全会报告提出“加快启动昆明信息港建设，确保一年开港投运。”昆明信息港以原市政府公众网、市委宣传部新昆明网和昆明日报社彩龙中国新闻网为基础，整合全市互联网资源，由云南电信昆明分公司投资建设。时年12月完成一期建设并开港运行。</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2010年12月，昆明市委办公厅、昆明市政府办公厅印发《关于加强和改进我市互联网信息管理工作的意见》（昆办发〔2010〕30号文件），要求巩固和完善互联网宣传和服务平台，做大做强我市互联网综合城市门户和政务服务门户。不断完善昆明信息港综合城市门户网，加大市级财政对昆明信息港的扶持力度，确保其网上新闻宣传、舆论引导、政务服务及其他公共公益性服务的工作经费。</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昆明市委办公厅、昆明市政府办公厅《昆明信息港“中国昆明”政务网运行管理制度（试行）》（昆办发〔2009〕6号文件）精神，昆明信息港由中共昆明市委、市政府主办。昆明日报社承办。昆明信息港管理委员会是网站的管理主体。在项目组织实施上，由管委会领导总负责，分管领导牵头的项目负责制。昆明信息港负责实施项目。</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2022年，昆港认真落实省、市、集团工作部署，突出做好习近平新时代中国特色社会主义思想网上宣传，紧紧围绕迎接、宣传、贯彻党的二十大这条主线，认真策划、落实各项报道任务，累计发稿18.15万篇（条）。</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3.资金来源及使用情况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项目资金来源为财政拨款，预算资金200万元于2022年4月份拨付到位，全部用于互联网新闻宣传和政务服务项目支出。</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4.组织及管理情况</w:t>
      </w:r>
    </w:p>
    <w:p>
      <w:pPr>
        <w:topLinePunct/>
        <w:spacing w:line="600" w:lineRule="exact"/>
        <w:jc w:val="both"/>
        <w:rPr>
          <w:rFonts w:hint="default" w:ascii="仿宋" w:hAnsi="仿宋" w:eastAsia="仿宋" w:cs="仿宋"/>
          <w:sz w:val="32"/>
          <w:szCs w:val="32"/>
        </w:rPr>
      </w:pPr>
      <w:r>
        <w:rPr>
          <w:rFonts w:ascii="仿宋" w:hAnsi="仿宋" w:eastAsia="仿宋" w:cs="仿宋"/>
          <w:sz w:val="32"/>
          <w:szCs w:val="32"/>
        </w:rPr>
        <w:t xml:space="preserve">    2009年4月，昆明市委办公厅、昆明市政府办公厅印发《昆明信息港“中国昆明”政务网运行管理制度（试行）、限期规范部门子网站英文域名的通知、部门子网站英文域名管理制度（试行）等三个文件的通知》（昆办发〔2009〕6号文件），明确了中共昆明市委宣传部负责指导和监督昆明信息港管理委员会开展网站新闻宣传、把握正确舆论导向；昆明市人民政府信息产业办负责指导和协调昆明信息港管理委员会开展“中国昆明”政务网相关工作；昆明信息港管理委员会负责“中国昆明”政务网主网站的建设维护、运行管理及网站栏目策划、内容组织、信息采编、审核发布等工作，对各部门子网站的建设及应用情况进行协调和监督。</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2009年9月，昆明市委办公厅、昆明市政府办公厅转发《关于进一步完善和提升昆明信息港服务功能的实施方案的通知》（昆办通〔2009〕46号文件），提出昆明信息港要紧紧围绕市委、市政府中心工作，坚持团结稳定鼓劲、正面宣传为主，坚持“三贴近”，唱响主旋律，充分整合、挖掘、利用现有资源，继续创新和丰富网络传播方式，发挥网上宣传核心平台作用，不断提升网站的对外影响力和舆论引导水平。</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2022年，坚持以政治家办网办新媒体的理念统筹规划互联网新闻宣传和政务服务，制定、修订《昆明信息港网络视听节目生产发布管理规范》《昆明信息港代运维平台信息生产发布三审三校责任制度（试行）》《昆明信息港新闻信息生产发布三审三校责任制度（2022年7月修订 ）》等规章制度，项目管理体制机制进一步完善。</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1.总目标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坚持以习近平新时代中国特色社会主义思想为指引，全面学习、全面把握、全面落实党的二十大精神，贯彻落实习近平总书记关于宣传思想工作的重要思想，牢固树立“四个意识”，坚定“四个自信”，在省市宣传部、网信办的精心指导下，在昆明报业传媒集团的领导下，紧紧围绕习近平总书记对云南发展的重要指示精神，切实担负起“举旗帜、聚民心、育新人、兴文化、展形象”使命任务，坚持正面宣传为主，唱响主旋律，充分整合、挖掘利用新闻资源，不断创新和丰富网络传播方式，不断提升网站的对外影响力和舆论引导水平。</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2.年度目标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全面贯彻落实全国、省、市宣传思想工作会议和网信工作会议精神，突出做好习近平新时代中国特色社会主义思想宣传，紧紧围绕迎接、宣传、贯彻党的二十大这条主线，聚焦民族团结进步示范区、生态文明排头兵建设、面向南亚东南亚辐射中心等中心工作，积极宣传各地各部门学习贯彻习近平总书记考察云南重要讲话精神的实践成效。充分展现云南各族人民牢记习近平总书记殷殷嘱托，自觉践行新发展理念，在新时代的新征程上交出绚丽的云岭答卷。</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（1）高举旗帜坚守阵地，唱响主旋律，突出做好习近平新时代中国特色社会主义思想宣传。全年累计发稿16000篇。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紧扣市委、市政府中心工作，充分发挥互联网传播优势，旗帜鲜明地唱响主旋律，围绕讲好昆明故事、传播春城声音、塑造城市形象，创新宣传方法手段、拓展宣传平台渠道、为昆明的改革发展稳定营造良好的网上舆论环境。全年发稿约64000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（3）充分利用英文、缅文多语种采编优势，不断创新外宣传播形式和手段，拓宽面向南亚东南亚国家网络传播渠道，为讲好中国故事、传播云南声音、塑造春城形象提供有力支撑。全年发稿1300篇。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（4）维护“中国昆明”政务网，发布党务政务信息。全年发稿约9000篇。</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（三）产出社会效益</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1.牢牢把握正确的政治方向和舆论导向，推动习近平新时代中国特色社会主义思想始终成为网络空间最强音。</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2.全方位、多角度、全平台做好昆滇学习贯彻习近平新时代中国特色社会主义思想取得的新进展、新成效，塑造昆明加快开放发展的崭新形象，着力营造建设区域性国际中心城市良好网络舆论环境。</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3.通过项目实施，服务市委市政府中心工作，保障新闻宣传的高质量供给，提高新闻舆论的传播力、引导力、影响力、公信力，增强人民群众的获得感和满意度。</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二、绩效评价工作情况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（一）绩效评价目的</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本次绩效评价，全面了解项目决策、过程、产出和效益等情况，评价财政资金使用绩效，找出存在的问题和原因，提出建设性意见建议，进一步规范资金分配和使用，并将绩效评价结果作为编报下年预算、改进加强管理、完善政策的重要依据，进一步提高资金使用效益。</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（二）绩效评价工作方案制定过程</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中华人民共和国预算法》《昆明市预算绩效管理暂行办法》（昆政办〔2013〕129号）《昆明市本级部门预算绩效自评管理暂行办法》等有关规定，结合部门职能职责，对照项目目标和实际完成情况，由单位分管领导牵头，各项目实施部门具体负责项目评价工作。</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绩效评价围绕绩效目标的设定、资金投入和使用、为实现绩效目标制定的制度、采取的措施、绩效目标的实现程度及效果等方面内容开展自评。</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（三）绩效评价原则、评价方法</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绩效评价根据设定的绩效目标，运用科学、合理的绩效评价指标、评价标准和评价方法，对财政支出的经济性、效率性和效益性进行客观、公正的评价。</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2.绩效评价方法</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绩效指标遵循重要性、系统性、可比性等原则，在共性指标体系框架的基础上，结合项目预算批复的部门整体支出和项目支出绩效指标、部门职责以及项目特点，补充设计并确定个性指标。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采用成本效益分析法、因素分析法等方式，坚持简便有效的原则评价绩效目标实现程度。</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（四）绩效评价实施过程</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市财政局绩效评价工作的安排部署，启动年度评价工作，明确自评工作要求，分类制定自评项目共性指标及自评表，开展绩效自评工作，收集评价基础材料、选取评价指标、选用评价方法、综合分析评价，确定评价结果，结合季度项目跟踪，做好项目跟踪评价。</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（五）本次绩效评价的局限性</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本次项目评价由具体执行部门进行，依靠财政等有关部门和单位的指导，但新闻宣传服务类项目评价还存在一些难点，结合指标设置还有一定的局限性。</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三、评价结论和绩效分析</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topLinePunct/>
        <w:spacing w:line="600" w:lineRule="exact"/>
        <w:ind w:firstLine="640"/>
        <w:jc w:val="both"/>
        <w:rPr>
          <w:rFonts w:hint="default" w:ascii="仿宋" w:hAnsi="仿宋" w:eastAsia="仿宋" w:cs="仿宋"/>
          <w:sz w:val="32"/>
          <w:szCs w:val="32"/>
        </w:rPr>
      </w:pPr>
      <w:r>
        <w:rPr>
          <w:rFonts w:ascii="仿宋" w:hAnsi="仿宋" w:eastAsia="仿宋" w:cs="仿宋"/>
          <w:sz w:val="32"/>
          <w:szCs w:val="32"/>
        </w:rPr>
        <w:t>1.评价结果</w:t>
      </w:r>
    </w:p>
    <w:p>
      <w:pPr>
        <w:topLinePunct/>
        <w:spacing w:line="600" w:lineRule="exact"/>
        <w:ind w:firstLine="640"/>
        <w:jc w:val="both"/>
        <w:rPr>
          <w:rFonts w:hint="default" w:ascii="仿宋" w:hAnsi="仿宋" w:eastAsia="仿宋" w:cs="仿宋"/>
          <w:sz w:val="32"/>
          <w:szCs w:val="32"/>
        </w:rPr>
      </w:pPr>
      <w:r>
        <w:rPr>
          <w:rFonts w:ascii="仿宋" w:hAnsi="仿宋" w:eastAsia="仿宋" w:cs="仿宋"/>
          <w:sz w:val="32"/>
          <w:szCs w:val="32"/>
        </w:rPr>
        <w:t>项目实施情况较好，项目资金能及时到位，项目管理规范、项目社会效益良好，党委政府对项目实施的满意度较高，自评98.5分，评价等级为优。</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全媒体平台累计发布稿件181500余篇（组），其中城市门户发稿97000余篇，资讯频道发布民生资讯40500多篇，微信公众号、微博、抖音、头条等平台发稿44000余条。累计生产10万+作品448件，100万+作品65件，1000万+作品2件。</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（1）坚持正确政治方向和舆论导向，认真做好习近平新时代中国特色社会主义思想宣传。围绕习近平总书记重要活动、重要讲话、重大主题宣传等，发布指令稿件30000余篇（条），共制作《奋斗百年路 启航新征程》《习近平总书记“七一”重要讲话精神》等新闻专题46个，始终用习近平新时代中国特色社会主义思想引领网站首页、首屏和头条。</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 xml:space="preserve">（2）积极主动，浓墨重彩，做好重大主题宣传报道。开设“奋斗百年路 启航新征程——庆祝中国共产党建党百年”“深入学习贯彻十九届六中全会精神”“迎接COP15”等重点专题专栏，及时转载、集纳中央、省、市主流媒体权威报道。派记者采访省市系列发布会，并对相关稿件进行重点呈现。  </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围绕中心、服务大局，抓好省市重要主题宣传和舆论引导。紧扣“党史学习教育”“省市两会”“脱贫攻坚”“乡村振兴”“教育改革”“生态治理”等主题开展宣传报道，利用图文、图解、H5、海报新闻等形式全媒体呈现。开设专题专栏，全面宣传省、市“十三五”成就、“十四五”规划及“二〇三五远景目标纲要建议”。及时发布并深入解读云南省委省政府州市系列现场办公会精神，特别是昆明现场办公会精神。</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（4）努力提升国际传播能力，通过开展“海外看昆滇”活动、“在昆外国人看昆明”系列访谈、“外国人话云南”短视频征集大赛等线上线下相结合的形式，对外讲好中国故事，展示良好的昆滇形象。</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（二）具体绩效分析</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项目决策。与部门中长期规划相适应，立项依据充分、规范，绩效目标设定合理指标明确。自评19.5分。</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项目管理。预算编制合理，执行到位， 财务制度健全，监控有效，符合预算批复的用途，不存在截留、挤占、挪用、虚列支出等情况，项目实施管理制度有效。自评19分。</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产出。维护城市门户和综合新闻网，重点做好习近平新时代中国特色社会主义思想的宣传报道；对昆明市重要会议、活动、事件采访并全媒体报道；针对全市中心工作、重点项目、热点话题推出专题栏目。维护市人民政府“中国昆明”政务网政务信息公开。年度信息内容发布准确，技术安全保障有力。自评60分。</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总分98.5分。</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四、成本效益分析</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资金全部用于互联网新闻宣传和政务服务支出。当前，新闻舆论工作处在意识形态斗争最前沿。昆港互联网新闻宣传和政务服务项目，依托城市门户和综合新闻网、“昆明市人民政府”政务网以及各新媒体平台，平均每年编发稿件达18万多篇，牢牢守住了昆滇网上舆论重要阵地。各平台除发布国家、省、市宣传稿件外，还有大量原创、约稿等报道。面对如此庞大的稿量，项目工作任务开支经费明显过低。</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在资金使用效果方面，一是巩固和壮大了党的舆论阵地。项目实施，坚持马克思主义新闻观，坚持党性原则，坚持正确政治方向；坚持正面宣传为主，发挥主流网络媒体平台优势，正本溯源，激浊扬清。二是较好履行了地方网媒职责。围绕市委市府中心工作，聚焦围绕打赢三大攻坚战、区域性国际中心城市建设、滇池治理、生态文明建设、三大城市品牌等主题宣传。同时借力微信、微博、抖音等新媒体平台，宣传了昆滇形象，传播了昆滇声音。</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五、主要经验及做法、存在的问题和建议</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（一）主要经验及做法</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财政部门监管有力，经费到位及时，在资金使用上严格按照规定执行，做到资金使用的安全规范，保证经费及时到位和合理使用。项目实施过程中，事前有设计规划、事中有监督检查、事后有跟踪问效。</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（二）存在的问题</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部分指标难以进行绩效评价，绩效指标设置还需完善，对支出绩效跟踪监管力度还需加强。</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（三）建议和改进措施</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中共中央办公厅、国务院办公厅印发《关于加快推进媒体深度融合发展的意见》指出，要推动主力军全面挺进主战场，以互联网思维优化资源配置，把更多优质内容、先进技术、专业人才、项目资金向互联网主阵地汇集、向移动端倾斜，让分散在网下的力量尽快进军网上、深入网上，做大做强网络平台，占领新兴传播阵地。希望能在资金安排或政策支持上予以倾斜，不断巩固互联网意识形态阵地，壮大主流思想文化。</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2.进一步完善年初绩效指标设置，按照年初目标合理设置绩效指标，便于开展绩效跟踪与管理。</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spacing w:line="600" w:lineRule="exact"/>
        <w:ind w:firstLine="640" w:firstLineChars="200"/>
        <w:jc w:val="both"/>
        <w:rPr>
          <w:rFonts w:hint="default" w:ascii="仿宋_GB2312" w:eastAsia="仿宋_GB2312" w:cs="仿宋_GB2312"/>
          <w:sz w:val="32"/>
          <w:szCs w:val="32"/>
        </w:rPr>
      </w:pPr>
      <w:r>
        <w:rPr>
          <w:rFonts w:ascii="仿宋_GB2312" w:eastAsia="仿宋_GB2312" w:cs="仿宋_GB2312"/>
          <w:sz w:val="32"/>
          <w:szCs w:val="32"/>
        </w:rPr>
        <w:t xml:space="preserve"> </w:t>
      </w:r>
    </w:p>
    <w:p>
      <w:pPr>
        <w:jc w:val="both"/>
        <w:rPr>
          <w:rFonts w:ascii="楷体_GB2312" w:hAnsi="楷体_GB2312" w:cs="楷体_GB2312"/>
          <w:sz w:val="32"/>
          <w:szCs w:val="32"/>
        </w:rPr>
      </w:pPr>
      <w:r>
        <w:rPr>
          <w:rFonts w:ascii="楷体_GB2312" w:hAnsi="楷体_GB2312" w:cs="楷体_GB2312"/>
          <w:sz w:val="32"/>
          <w:szCs w:val="32"/>
        </w:rPr>
        <w:t xml:space="preserve"> </w:t>
      </w:r>
    </w:p>
    <w:p>
      <w:pPr>
        <w:jc w:val="both"/>
        <w:rPr>
          <w:rFonts w:ascii="楷体_GB2312" w:hAnsi="楷体_GB2312" w:cs="楷体_GB2312"/>
          <w:sz w:val="32"/>
          <w:szCs w:val="32"/>
        </w:rPr>
      </w:pPr>
      <w:r>
        <w:rPr>
          <w:rFonts w:ascii="楷体_GB2312" w:hAnsi="楷体_GB2312" w:cs="楷体_GB2312"/>
          <w:sz w:val="32"/>
          <w:szCs w:val="32"/>
        </w:rPr>
        <w:t xml:space="preserve"> </w:t>
      </w:r>
    </w:p>
    <w:p>
      <w:pPr>
        <w:jc w:val="both"/>
        <w:rPr>
          <w:rFonts w:hint="default" w:ascii="楷体_GB2312" w:eastAsia="楷体_GB2312" w:cs="楷体_GB2312"/>
          <w:sz w:val="32"/>
          <w:szCs w:val="32"/>
        </w:rPr>
      </w:pPr>
      <w:r>
        <w:rPr>
          <w:rFonts w:cs="宋体"/>
          <w:sz w:val="32"/>
          <w:szCs w:val="32"/>
        </w:rPr>
        <w:t>项目十三：</w:t>
      </w:r>
    </w:p>
    <w:p>
      <w:pPr>
        <w:spacing w:line="600" w:lineRule="exact"/>
        <w:jc w:val="center"/>
        <w:rPr>
          <w:rFonts w:hint="default" w:ascii="方正小标宋简体" w:hAnsi="方正小标宋简体" w:eastAsia="方正小标宋简体" w:cs="方正小标宋简体"/>
          <w:sz w:val="44"/>
          <w:szCs w:val="44"/>
        </w:rPr>
      </w:pPr>
      <w:r>
        <w:rPr>
          <w:rFonts w:cs="宋体"/>
          <w:sz w:val="44"/>
          <w:szCs w:val="44"/>
        </w:rPr>
        <w:t>省级人才发展专项资金</w:t>
      </w:r>
    </w:p>
    <w:p>
      <w:pPr>
        <w:spacing w:line="600" w:lineRule="exact"/>
        <w:jc w:val="center"/>
        <w:rPr>
          <w:rFonts w:hint="default" w:ascii="方正小标宋简体" w:hAnsi="方正小标宋简体" w:eastAsia="方正小标宋简体" w:cs="方正小标宋简体"/>
          <w:sz w:val="44"/>
          <w:szCs w:val="44"/>
        </w:rPr>
      </w:pPr>
      <w:r>
        <w:rPr>
          <w:rFonts w:cs="宋体"/>
          <w:sz w:val="44"/>
          <w:szCs w:val="44"/>
        </w:rPr>
        <w:t>支出绩效自评报告</w:t>
      </w:r>
    </w:p>
    <w:p>
      <w:pPr>
        <w:spacing w:line="600" w:lineRule="exact"/>
        <w:ind w:firstLine="480" w:firstLineChars="200"/>
        <w:jc w:val="both"/>
        <w:rPr>
          <w:rFonts w:hint="default" w:ascii="黑体" w:eastAsia="黑体" w:cs="黑体"/>
        </w:rPr>
      </w:pPr>
      <w:r>
        <w:rPr>
          <w:rFonts w:ascii="黑体" w:eastAsia="黑体" w:cs="黑体"/>
        </w:rPr>
        <w:t xml:space="preserve"> </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一、项目基本情况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（一）项目概况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1.立项背景及目的</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按照省委相关文件规定，“兴滇英才支持计划”（原“万人计划”），给予项目经费支持。由各专项人员统筹安排，专款专用。</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理论评论智库平台建设项目（昆明报业传媒集团名编辑理论评论工作室），作为昆明市理论宣传阵地建设的重要项目和“部校共建”配套项目，主要开展人才培训、课题研究、新产品开发、专著出版。其成果转化主要转化在专著出版上，为本工作室和云南财经大学传媒学院大三及研究生评论课提供参考教材。</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工作室为员工搭建了业务学习培训、交流研讨的一个创新性平台。项目实施以来，出版或即将出版以下专著：《新闻“言”长线》（人民日报出版社），《言·论：一“记”之长》（云南人民出版社），《回响》（云南人民出版社）；创新性地推出昆报视评、真人AI主播（丹霞、春融）等评论新产品；每位学员提交一篇独立撰写的评论，编辑印刷出品作品集《以梦为马踏歌行》；完成昆明市宣传思想文化系统2022年度重点调研课题：“当好排头兵”大讨论大竞赛宣传策略构建及实践路径研究；参与云南财经大学的“部校共建”教学工作；等等。</w:t>
      </w:r>
    </w:p>
    <w:p>
      <w:pPr>
        <w:topLinePunct/>
        <w:spacing w:line="600" w:lineRule="exact"/>
        <w:ind w:firstLine="420"/>
        <w:jc w:val="both"/>
        <w:rPr>
          <w:rFonts w:hint="default" w:ascii="仿宋" w:hAnsi="仿宋" w:eastAsia="仿宋" w:cs="仿宋"/>
          <w:sz w:val="32"/>
          <w:szCs w:val="32"/>
        </w:rPr>
      </w:pPr>
      <w:r>
        <w:rPr>
          <w:rFonts w:ascii="仿宋" w:hAnsi="仿宋" w:eastAsia="仿宋" w:cs="仿宋"/>
          <w:sz w:val="32"/>
          <w:szCs w:val="32"/>
        </w:rPr>
        <w:t>3.资金来源及使用情况</w:t>
      </w:r>
    </w:p>
    <w:p>
      <w:pPr>
        <w:topLinePunct/>
        <w:spacing w:line="600" w:lineRule="exact"/>
        <w:ind w:firstLine="420"/>
        <w:jc w:val="both"/>
        <w:rPr>
          <w:rFonts w:hint="default" w:ascii="仿宋" w:hAnsi="仿宋" w:eastAsia="仿宋" w:cs="仿宋"/>
          <w:sz w:val="32"/>
          <w:szCs w:val="32"/>
        </w:rPr>
      </w:pPr>
      <w:r>
        <w:rPr>
          <w:rFonts w:ascii="仿宋" w:hAnsi="仿宋" w:eastAsia="仿宋" w:cs="仿宋"/>
          <w:sz w:val="32"/>
          <w:szCs w:val="32"/>
        </w:rPr>
        <w:t>按项目申报核定拨款数额为50万元，省财政连续5年，每年拨付10万元，其余资金由昆明日报社自筹解决。</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4.组织及管理情况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项目组织情况：专著出版按照国家相关规定流程进行。其他工作按照工作计划逐一完成。</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项目实施流程：书稿选题——书名策划——签订出版合同——报送书稿——书稿审核——编辑研讨——齐清定——专著设计——大样清样——出版印刷——发行</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人才培训、课题研究、新产品开发等工作按照工作计划继续开展。</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资金拨付流程：资金拨付严格按照财务资金使用规范和昆明日报社财务管理相关流程执行。</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1.总目标</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坚持以习近平新时代中国特色社会主义思想为指导，牢牢把握党的新闻舆论工作职责使命，健全完善新闻专业技术人员教育培训机制，不断增强新闻专业技术人员脚力、眼力、脑力、笔力，培养造就一支政治坚定、业务精湛、作风优良、党和人民放心的新闻舆论工作队伍，为推动新时代党的新闻舆论工作提供人才保证和智力支持。紧紧围绕党的新闻舆论工作职责使命，深入开展马克思主义新闻观教育，把政治能力建设贯穿继续教育全过程，引导新闻专业技术人员始终坚持正确政治方向、舆论导向、价值取向，增强“四个意识”、坚定“四个自信”、做到“两个维护”。通过创新方式方法，采用“请进来，走出去”等形式，不断提升新闻专业技术人员队伍素质，引导新闻专业技术人员尤其是青年编辑记者评论员运用所学知识指导实践、推动工作、生产精品。</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2.年度目标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产出目标：每年出版专著一部，每部30万字左右；学习培训10场次以上，共计30多个学时；完成宣传思想文化系统年度调研课题等等。</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效果目标：在学习培训中，通过业界和高校专家精心授课，推动评论作品水量质量明显提升；安排每位学员提交一篇独立撰写的评论，编辑印刷成评论作品集；主持人“一对一”服务策划选题，辅导多位学员撰写刊发评论，让大多数学员已完成中级职称评审的评论作品数量；指导论文写作、推荐论文发表，部分学员在省内外刊物上发表论文；工作室学员尝试出镜“昆报视评”，参与脚本撰写，全方位提升锻炼媒体融合本领；工作室主持人长期参与云南省正能量网络文化传播实训基地、国家数字素养实训基地的培训工作；参与省市多个课题项目评审以及决策咨询工作；完成“部校共建”教学任务。</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二、绩效评价工作情况</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（一）绩效评价目的</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全面了解本项目运作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（二）绩效评价工作方案制定过程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1.前期调研</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理论评论智库平台建设（名编辑理论评论工作室）制定相关培训方案、成果转化，即专著出版方案，按照方案进行资料收集与审核，进行现场和非现场评价以及综合评价，从推进情况、产品开发、专著质量、外部效应、访谈结果、考核情况等方面进行评价，最终完成报告撰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2.研究文件</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相继研究了人事管理制度、绩效考评制度以及资金管理制度，全省、全市重点中心工作的相关文件，以及“云南省高层次人才培养支持计划”（原“万人计划”）项目管理规定等。</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3.绩效评价指标体系及工作方案的设计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工作方案主要有制定培训框架、制作培训课件、完善培训制度、人员管理制度、考勤制度、绩效考评制度以及资金管理制度。财政下拨资金主要用于专著出版支出。</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评价体系重点包括：培训产生的效益、专著使用情况；新产品开发、人才培养是否达到预期目标。</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（三）绩效评价原则、评价方法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公平与客观、公开与开放、反馈与修改、定期化与制度化、可靠性与准确性、可行性与适用性。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稿件数量质量评定法：依据学员发表评论稿子、参加新产品开发、参与课题研究等情况进行考评，判定项目完成质量。</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深度访谈法：主要对培训效果进行访谈；根据使用参考教材产生的直接效果、工作室学员及大三学生、研究生的反馈，与外聘老师到工作室的讲授互动情况等来判定项目是否达到预期效果。涉及调查问卷，让项目相关人员就问卷项目进行评价。</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（四）绩效评价实施过程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1.数据填报和采集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统计学员评分、上课感受评价，按照既定制度进行指标评价。</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2.社会调查</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统计学员反馈、业界评价、高校互动情况等，注重长期跟踪。</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3.数据分析和撰写报告</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将前期收集资料进行整理，按照相关指标进行评价总结，结合预期目标形成总结报告。</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（五）本次绩效评价的局限性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由于本项目为新批复项目，项目运行实践经验方面还有所欠缺，项目相关人员配备还显不足，相关制度建设还有待进一步完善与加强。</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三、评价结论和绩效分析</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理论评论智库平台建设项目（昆明报业传媒集团名编辑理论评论工作室），各项工作正常开展，整体质量上乘，资金使用情况规范，业界反响良好。</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出版或即将出版专著：《新闻“言”长线》《言·论：一“记”之长》《回响》（后期完善）；创新性地推出昆报视评、真人AI主播（丹霞、春融）等评论新产品；安排每位学员提交一篇独立撰写的评论，编辑印刷出品作品集《以梦为马踏歌行》；完成昆明市宣传思想文化系统2022年度重点调研课题：“当好排头兵”大讨论大竞赛宣传策略构建及实践路径研究；参与云南财经大学的“部校共建”教学工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在学习培训中，借用专著作为培训参考教材，从报纸版面、移动客户端、新媒体平台评论作品的明显增加；多位学员撰写刊发了多篇评论，一些同事已完成中级职称评审的评论作品数量；有多位学员在省内外刊物上发表论文；参与云南省正能量网络文化传播实训基地、国家数字素养实训基地的培训工作；参与省市多个课题项目评审以及决策咨询工作。</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（二）具体绩效分析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决策方面，项目与工作室长期发展目标和工作性质相匹配，并在前期对项目可行性进行过调研，符合要求。项目绩效目标的制定紧扣教育培训实际，能完整反映项目预期产出和效果，绩效指标清晰、可衡量。自评分19.5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项目管理方面，预算编制围绕培训实际情况，在需要调整预算时严格按照相关规定执行，资金使用合理、规范、节约，资金拨付程序完整，没有出现截留、挤占或挪用项目资金的情况。自评分20分。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项目绩效方面，项目提前做功课，面对各种困难，克服疫情干扰，圆满完成各项目标，社会效益和宣传效益达到预期目标。自评分59分。</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项目总评分98.5分。</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四、成本效益分析</w:t>
      </w:r>
    </w:p>
    <w:p>
      <w:pPr>
        <w:spacing w:line="600" w:lineRule="exact"/>
        <w:ind w:firstLine="600" w:firstLineChars="200"/>
        <w:jc w:val="both"/>
        <w:rPr>
          <w:rFonts w:hint="default" w:ascii="仿宋" w:hAnsi="仿宋" w:eastAsia="仿宋" w:cs="仿宋"/>
          <w:sz w:val="30"/>
          <w:szCs w:val="30"/>
        </w:rPr>
      </w:pPr>
      <w:r>
        <w:rPr>
          <w:rFonts w:ascii="仿宋" w:hAnsi="仿宋" w:eastAsia="仿宋" w:cs="仿宋"/>
          <w:sz w:val="30"/>
          <w:szCs w:val="30"/>
        </w:rPr>
        <w:t>项目资金的财政拨款，主要用于专著印刷、出版等支出。集团拨付资金主要用于工作室授课老师的课时费支出。所有项目经费实行专款专用，资金拨付严格审批程序，使用规范，会计核算结果真实、准确。项目所在单位建立健全项目实施预算方案、财务管理制度和会计核算制度，此次绩效评价过程中未发现有截留、挤占或挪用项目资金的情况。</w:t>
      </w:r>
    </w:p>
    <w:p>
      <w:pPr>
        <w:topLinePunct/>
        <w:spacing w:line="600" w:lineRule="exact"/>
        <w:ind w:firstLine="640" w:firstLineChars="200"/>
        <w:jc w:val="both"/>
        <w:rPr>
          <w:rFonts w:hint="default" w:ascii="黑体" w:hAnsi="Calibri" w:eastAsia="黑体" w:cs="黑体"/>
          <w:sz w:val="32"/>
          <w:szCs w:val="32"/>
        </w:rPr>
      </w:pPr>
      <w:r>
        <w:rPr>
          <w:rFonts w:ascii="黑体" w:eastAsia="黑体" w:cs="黑体"/>
          <w:sz w:val="32"/>
          <w:szCs w:val="32"/>
        </w:rPr>
        <w:t>五、主要经验及做法、存在的问题和建议</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（一）主要经验及做法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理论评论智库平台建设项目（昆明报业传媒集团名编辑理论评论工作室）是集团高瞻远瞩搭建的继续教育平台。因为，做好党的新闻舆论工作，关键在人才。媒体竞争，最终是人才竞争。新闻工作是需要出“产品”的工作，造就一支政治坚定、业务精湛、作风优良、党和人民放心的新闻舆论工作者，需要加大学习培训力度。</w:t>
      </w:r>
    </w:p>
    <w:p>
      <w:pPr>
        <w:spacing w:line="600" w:lineRule="exact"/>
        <w:ind w:firstLine="640" w:firstLineChars="200"/>
        <w:jc w:val="both"/>
        <w:rPr>
          <w:rFonts w:hint="default" w:ascii="仿宋_GB2312" w:hAnsi="楷体" w:eastAsia="仿宋_GB2312" w:cs="仿宋_GB2312"/>
          <w:sz w:val="32"/>
          <w:szCs w:val="32"/>
        </w:rPr>
      </w:pPr>
      <w:r>
        <w:rPr>
          <w:rFonts w:ascii="仿宋" w:hAnsi="仿宋" w:eastAsia="仿宋" w:cs="仿宋"/>
          <w:sz w:val="32"/>
          <w:szCs w:val="32"/>
        </w:rPr>
        <w:t>2.学习培训需要切合实际的教材，出版专著作为学员的参考用书，发挥直接的指导、借鉴、参考作用。</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（二）存在的问题</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1.由于近年省财政下达的人才培养专项资金到达报社较晚，加上资金使用审批需要报市级财政，手续繁杂，时间较长，影响合同的签订；如果签订合同后，资金不能及时到账，就要承担违约金的风险。</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由于培训讲座安排在周五下午（正常工作时间），培训学习与业务工作在时间上常常有冲突。培训时有的学员恰恰有重要采访，有的学员出差在外，有的学员正逢有项目要洽谈甚至签订协议……碰到这些情况，只能“择其重”而从之，请假放弃学习。</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由于疫情反反复复的影响，“请进来”培训在确保安全的前提下正常开展，但“走出去”与新闻界同行的交流未能经常开展。长期“蜷缩”在自己的小圈子里，不能多看多学，必然影响学习效果。没有“走出去”开眼界、长见识，就不可能与时俱进地用新闻理论更好指导新闻实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4.部校共建方面，新闻单位不能完全满足学生实习实践环节的需求；新闻学界与新闻业界合作交流、共促共建的力度有待加大，让新闻理论真正从新闻实践中来，让与时俱进的新闻理论更好指导新闻实践。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5.“报账”太麻烦。有同行感叹：“不是在报账就是在去报账的路上”“要搞项目先得学会做会计”“外出调研吃碗米线回来都要找几个领导签字才能报销”……严重影响工作热情和积极性。如何给活动组织者报账“松绑减负”，改变“人围着经费转”等怪现象，让他们从繁杂的事务性工作中解脱出来，一心一意搞专业，这是一个亟须拿出举措，着力解决的问题。（云南财政科研项目和经费管理改革20条措施提出，减轻科研人员事务性负担，包括实施科研人员减负行动、下放科研项目验收管理权限、优化科研仪器设备采购；加大科研人员激励力度，包括提高间接费用比例、发挥项目绩效激励作用、自主确定劳务费标准等）。</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（三）建议和改进措施</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1.组织一次外出学习培训，参访先进发达地区媒体融合发展情况。</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2.邀请张志安、王平等知名学者、媒体大咖来工作室作讲座。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3.在“大调研”背景下，完成昆明市宣传思想文化系统交办集团的年度调研重点课题，力争报送高质量的研究成果。</w:t>
      </w:r>
    </w:p>
    <w:p>
      <w:pPr>
        <w:pStyle w:val="2"/>
        <w:rPr>
          <w:rFonts w:ascii="仿宋" w:hAnsi="仿宋" w:eastAsia="仿宋" w:cs="仿宋"/>
        </w:rPr>
      </w:pPr>
      <w:r>
        <w:rPr>
          <w:rFonts w:hint="eastAsia" w:ascii="仿宋" w:hAnsi="仿宋" w:eastAsia="仿宋" w:cs="仿宋"/>
        </w:rPr>
        <w:t xml:space="preserve"> </w:t>
      </w:r>
    </w:p>
    <w:p>
      <w:pPr>
        <w:pStyle w:val="2"/>
        <w:rPr>
          <w:rFonts w:ascii="仿宋" w:hAnsi="仿宋" w:eastAsia="仿宋" w:cs="仿宋"/>
        </w:rPr>
      </w:pPr>
      <w:r>
        <w:rPr>
          <w:rFonts w:hint="eastAsia" w:ascii="仿宋" w:hAnsi="仿宋" w:eastAsia="仿宋" w:cs="仿宋"/>
        </w:rP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pPr>
      <w:r>
        <w:t xml:space="preserve"> </w:t>
      </w:r>
    </w:p>
    <w:p>
      <w:pPr>
        <w:pStyle w:val="2"/>
        <w:ind w:firstLine="0" w:firstLineChars="0"/>
        <w:rPr>
          <w:rFonts w:ascii="宋体" w:hAnsi="宋体" w:cs="宋体"/>
          <w:sz w:val="32"/>
          <w:szCs w:val="32"/>
        </w:rPr>
      </w:pPr>
    </w:p>
    <w:p>
      <w:pPr>
        <w:pStyle w:val="2"/>
        <w:ind w:firstLine="0" w:firstLineChars="0"/>
        <w:rPr>
          <w:rFonts w:ascii="宋体" w:hAnsi="宋体" w:cs="宋体"/>
          <w:sz w:val="32"/>
          <w:szCs w:val="32"/>
        </w:rPr>
      </w:pPr>
    </w:p>
    <w:p>
      <w:pPr>
        <w:pStyle w:val="2"/>
        <w:ind w:firstLine="0" w:firstLineChars="0"/>
        <w:rPr>
          <w:rFonts w:ascii="楷体_GB2312" w:hAnsi="宋体" w:eastAsia="楷体_GB2312" w:cs="楷体_GB2312"/>
          <w:sz w:val="32"/>
          <w:szCs w:val="32"/>
        </w:rPr>
      </w:pPr>
      <w:r>
        <w:rPr>
          <w:rFonts w:hint="eastAsia" w:ascii="宋体" w:hAnsi="宋体" w:cs="宋体"/>
          <w:sz w:val="32"/>
          <w:szCs w:val="32"/>
        </w:rPr>
        <w:t>项目十四：</w:t>
      </w:r>
    </w:p>
    <w:p>
      <w:pPr>
        <w:spacing w:line="600" w:lineRule="exact"/>
        <w:jc w:val="center"/>
        <w:rPr>
          <w:rFonts w:hint="default" w:ascii="方正小标宋简体" w:hAnsi="方正小标宋简体" w:cs="宋体"/>
          <w:sz w:val="44"/>
          <w:szCs w:val="44"/>
        </w:rPr>
      </w:pPr>
      <w:r>
        <w:rPr>
          <w:rFonts w:ascii="方正小标宋简体" w:hAnsi="方正小标宋简体" w:eastAsia="方正小标宋简体" w:cs="方正小标宋简体"/>
          <w:sz w:val="44"/>
          <w:szCs w:val="44"/>
        </w:rPr>
        <w:t>“</w:t>
      </w:r>
      <w:r>
        <w:rPr>
          <w:rFonts w:cs="宋体"/>
          <w:sz w:val="44"/>
          <w:szCs w:val="44"/>
        </w:rPr>
        <w:t>砥砺奋进新征程</w:t>
      </w:r>
      <w:r>
        <w:rPr>
          <w:rFonts w:ascii="方正小标宋简体" w:hAnsi="方正小标宋简体" w:eastAsia="方正小标宋简体" w:cs="方正小标宋简体"/>
          <w:sz w:val="44"/>
          <w:szCs w:val="44"/>
        </w:rPr>
        <w:t xml:space="preserve">  </w:t>
      </w:r>
      <w:r>
        <w:rPr>
          <w:rFonts w:cs="宋体"/>
          <w:sz w:val="44"/>
          <w:szCs w:val="44"/>
        </w:rPr>
        <w:t>喜迎党的二十大</w:t>
      </w:r>
      <w:r>
        <w:rPr>
          <w:rFonts w:ascii="方正小标宋简体" w:hAnsi="方正小标宋简体" w:eastAsia="方正小标宋简体" w:cs="方正小标宋简体"/>
          <w:sz w:val="44"/>
          <w:szCs w:val="44"/>
        </w:rPr>
        <w:t>——</w:t>
      </w:r>
      <w:r>
        <w:rPr>
          <w:rFonts w:cs="宋体"/>
          <w:sz w:val="44"/>
          <w:szCs w:val="44"/>
        </w:rPr>
        <w:t>党的创新理论我来讲</w:t>
      </w:r>
      <w:r>
        <w:rPr>
          <w:rFonts w:ascii="方正小标宋简体" w:hAnsi="方正小标宋简体" w:eastAsia="方正小标宋简体" w:cs="方正小标宋简体"/>
          <w:sz w:val="44"/>
          <w:szCs w:val="44"/>
        </w:rPr>
        <w:t>”</w:t>
      </w:r>
      <w:r>
        <w:rPr>
          <w:rFonts w:cs="宋体"/>
          <w:sz w:val="44"/>
          <w:szCs w:val="44"/>
        </w:rPr>
        <w:t>理论宣讲大赛初赛</w:t>
      </w:r>
    </w:p>
    <w:p>
      <w:pPr>
        <w:spacing w:line="600" w:lineRule="exact"/>
        <w:jc w:val="center"/>
        <w:rPr>
          <w:rFonts w:hint="default" w:ascii="方正小标宋简体" w:hAnsi="方正小标宋简体" w:eastAsia="方正小标宋简体" w:cs="方正小标宋简体"/>
          <w:sz w:val="44"/>
          <w:szCs w:val="44"/>
        </w:rPr>
      </w:pPr>
      <w:r>
        <w:rPr>
          <w:rFonts w:cs="宋体"/>
          <w:sz w:val="44"/>
          <w:szCs w:val="44"/>
        </w:rPr>
        <w:t>项目支出绩效自评报告</w:t>
      </w:r>
    </w:p>
    <w:p>
      <w:pPr>
        <w:topLinePunct/>
        <w:spacing w:line="600" w:lineRule="exact"/>
        <w:ind w:firstLine="800" w:firstLineChars="250"/>
        <w:jc w:val="both"/>
        <w:rPr>
          <w:rFonts w:hint="default" w:ascii="仿宋_GB2312" w:eastAsia="仿宋_GB2312" w:cs="仿宋_GB2312"/>
          <w:sz w:val="32"/>
          <w:szCs w:val="32"/>
        </w:rPr>
      </w:pPr>
      <w:r>
        <w:rPr>
          <w:rFonts w:ascii="仿宋_GB2312" w:eastAsia="仿宋_GB2312" w:cs="仿宋_GB2312"/>
          <w:sz w:val="32"/>
          <w:szCs w:val="32"/>
        </w:rPr>
        <w:t xml:space="preserve"> </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一、项目基本情况</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（一）项目立项背景及目的</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1.立项背景及目的</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根据省市宣传和社会事业工作委《关于举办“砥砺奋进新征程 喜迎党的二十大党的创新理论我来讲”理论宣讲大赛初赛的通知》，在宣传和社会事业工委所属党委（党组）范围举办“砥砺奋进新征程 喜迎党的二十大——党的创新理论我来讲”理论宣讲大赛初赛，选拔优秀队伍，参加市级比赛。</w:t>
      </w:r>
    </w:p>
    <w:p>
      <w:pPr>
        <w:kinsoku w:val="0"/>
        <w:overflowPunct w:val="0"/>
        <w:adjustRightInd w:val="0"/>
        <w:snapToGrid w:val="0"/>
        <w:spacing w:line="560" w:lineRule="exact"/>
        <w:ind w:firstLine="640" w:firstLineChars="200"/>
        <w:jc w:val="both"/>
        <w:textAlignment w:val="baseline"/>
        <w:rPr>
          <w:rFonts w:hint="default" w:ascii="仿宋" w:hAnsi="仿宋" w:eastAsia="仿宋" w:cs="仿宋"/>
          <w:sz w:val="32"/>
          <w:szCs w:val="32"/>
        </w:rPr>
      </w:pPr>
      <w:r>
        <w:rPr>
          <w:rFonts w:ascii="仿宋" w:hAnsi="仿宋" w:eastAsia="仿宋" w:cs="仿宋"/>
          <w:sz w:val="32"/>
          <w:szCs w:val="32"/>
        </w:rPr>
        <w:t>围绕“奋斗新时代、奋进新征程、担当新使命，沿着习近平总书记指引的方向奋勇前进，以优异成绩迎接党的二十大胜利召开。”的大赛主题，紧扣火热实践、先进典型、生动事例中反映出的对党的忠诚、对祖国的热爱、对人民的赤诚、对信仰的坚定的宣讲内容，通过组织比赛，不断推进马克思主义中国化时代化，生动阐释“中国共产党为什么能，中国特色社会主义为什么好，深刻阐释“马克思主义之所以行”的奥妙所在。宣讲全市广大干部群众牢固树立“今天再晚也是早、明天再早也是晚”的效率意识，以时不我待的紧迫感大抓发展，奋力谱写好中国梦的云南篇章的生动实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2.项目实施情况</w:t>
      </w:r>
    </w:p>
    <w:p>
      <w:pPr>
        <w:pStyle w:val="72"/>
        <w:ind w:firstLine="640" w:firstLineChars="200"/>
        <w:rPr>
          <w:rFonts w:ascii="仿宋" w:hAnsi="仿宋" w:eastAsia="仿宋" w:cs="仿宋"/>
          <w:sz w:val="32"/>
          <w:szCs w:val="32"/>
        </w:rPr>
      </w:pPr>
      <w:r>
        <w:rPr>
          <w:rFonts w:hint="eastAsia" w:ascii="仿宋" w:hAnsi="仿宋" w:eastAsia="仿宋" w:cs="仿宋"/>
          <w:sz w:val="32"/>
          <w:szCs w:val="32"/>
        </w:rPr>
        <w:t>比赛现场导演、主持人、评委、场务、计分员、音响控制、各参赛队员密切配合，顺利完成比赛，选拔出语言类一等奖作品1个，文艺类一等奖作品1个，得到了宣社工委的高度肯定，并全部向市委宣传部进行了推荐。通过此次比赛，昆明市理论宣讲水平得到进一步提升，理论宣讲的形式得到了丰富，从不同视角，运用多种形式，宣讲全市广大干部群众牢固树立“今天再晚也是早、明天再早也是晚”的效率意识，以时不我待的紧迫感大抓发展，奋力谱写好中国梦的云南篇章的生动实践。</w:t>
      </w:r>
    </w:p>
    <w:p>
      <w:pPr>
        <w:pStyle w:val="72"/>
        <w:ind w:firstLine="640" w:firstLineChars="200"/>
        <w:rPr>
          <w:rFonts w:ascii="仿宋" w:hAnsi="仿宋" w:eastAsia="仿宋" w:cs="仿宋"/>
          <w:sz w:val="32"/>
          <w:szCs w:val="32"/>
        </w:rPr>
      </w:pPr>
      <w:r>
        <w:rPr>
          <w:rFonts w:hint="eastAsia" w:ascii="仿宋" w:hAnsi="仿宋" w:eastAsia="仿宋" w:cs="仿宋"/>
          <w:sz w:val="32"/>
          <w:szCs w:val="32"/>
        </w:rPr>
        <w:t>3.资金来源及使用情况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该项目资金来源为市级财政。预算资金5万元，全部投入到活动举办的各项工作中。</w:t>
      </w:r>
    </w:p>
    <w:p>
      <w:pPr>
        <w:topLinePunct/>
        <w:spacing w:line="600" w:lineRule="exact"/>
        <w:ind w:left="480" w:leftChars="200" w:firstLine="320" w:firstLineChars="100"/>
        <w:jc w:val="both"/>
        <w:rPr>
          <w:rFonts w:hint="default" w:ascii="仿宋" w:hAnsi="仿宋" w:eastAsia="仿宋" w:cs="仿宋"/>
          <w:sz w:val="32"/>
          <w:szCs w:val="32"/>
        </w:rPr>
      </w:pPr>
      <w:r>
        <w:rPr>
          <w:rFonts w:ascii="仿宋" w:hAnsi="仿宋" w:eastAsia="仿宋" w:cs="仿宋"/>
          <w:sz w:val="32"/>
          <w:szCs w:val="32"/>
        </w:rPr>
        <w:t>4.组织及管理情况。</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组织情况：项目由市宣传和社会事业工委主办，昆明日报承办。市宣传和社会事业工委负责牵头做好初赛统筹协调工作。包括活动组织策划、评选表彰、宣传报道等工作。昆明日报负责做好初赛组织实施工作。制定初赛执行方案和统筹新闻报道、氛围营造等具体工作。</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项目实施流程：2022年4月28、29日“砥砺奋进新征程 喜迎党的二十大——党的创新理论我来讲”理论宣讲大赛初赛正式启动，市宣传和社会事业工委下属12家党委（党组）推荐优秀作品19个，按类别参加党的创新理论我来讲大赛初赛。19个节目中，语言类节目12个，文艺类节目7个。</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比赛中，评委从宣讲主题、宣讲内容、语言表达、现场表现、着装仪表、宣讲效果等方面按照百分制现场打分。采取去掉一个最高分和一个最低分，取其余分数的平均分为选手最后得分，分数保留到小数点后两位。从高到低排出名次，确定获奖名单。最终，产生语言类一等奖1名、二等奖2名、三等奖3名；文艺类一等奖1名、二等奖2名、三等奖3名。文艺类奖作品《原创红色滇韵实验剧&lt;吴澄&gt;（片段）》语言类作品《借问瘟君欲何往，纸船明烛照天烧》《新时代呼唤留学青年新作为》等选送到市委宣传部，在市级理论宣讲大赛中均获得较好成绩。</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（二）绩效目标</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1.总目标</w:t>
      </w:r>
    </w:p>
    <w:p>
      <w:pPr>
        <w:kinsoku w:val="0"/>
        <w:overflowPunct w:val="0"/>
        <w:adjustRightInd w:val="0"/>
        <w:snapToGrid w:val="0"/>
        <w:spacing w:line="600" w:lineRule="exact"/>
        <w:ind w:firstLine="640" w:firstLineChars="200"/>
        <w:jc w:val="both"/>
        <w:textAlignment w:val="baseline"/>
        <w:rPr>
          <w:rFonts w:hint="default" w:ascii="仿宋" w:hAnsi="仿宋" w:eastAsia="仿宋" w:cs="仿宋"/>
          <w:sz w:val="32"/>
          <w:szCs w:val="32"/>
        </w:rPr>
      </w:pPr>
      <w:r>
        <w:rPr>
          <w:rFonts w:ascii="仿宋" w:hAnsi="仿宋" w:eastAsia="仿宋" w:cs="仿宋"/>
          <w:sz w:val="32"/>
          <w:szCs w:val="32"/>
        </w:rPr>
        <w:t xml:space="preserve">围绕“奋斗新时代、奋进新征程、担当新使命，沿着习近平总书记指引的方向奋勇前进，以优异成绩迎接党的二十大胜利召开。”的大赛主题，紧扣火热实践、先进典型、生动事例中反映出的对党的忠诚、对祖国的热爱、对人民的赤诚、对信仰的坚定的宣讲内容，通过组织比赛，不断推进马克思主义中国化时代化，生动阐释“中国共产党为什么能，中国特色社会主义为什么好”，深刻阐释“马克思主义之所以行”的奥妙所在。宣讲全市广大干部群众牢固树立“今天再晚也是早、明天再早也是晚”的效率意识，以时不我待的紧迫感大抓发展，奋力谱写好中国梦的云南篇章的生动实践    </w:t>
      </w:r>
    </w:p>
    <w:p>
      <w:pPr>
        <w:kinsoku w:val="0"/>
        <w:overflowPunct w:val="0"/>
        <w:adjustRightInd w:val="0"/>
        <w:snapToGrid w:val="0"/>
        <w:spacing w:line="600" w:lineRule="exact"/>
        <w:ind w:firstLine="640" w:firstLineChars="200"/>
        <w:jc w:val="both"/>
        <w:textAlignment w:val="baseline"/>
        <w:rPr>
          <w:rFonts w:hint="default" w:ascii="仿宋" w:hAnsi="仿宋" w:eastAsia="仿宋" w:cs="仿宋"/>
          <w:sz w:val="32"/>
          <w:szCs w:val="32"/>
        </w:rPr>
      </w:pPr>
      <w:r>
        <w:rPr>
          <w:rFonts w:ascii="仿宋" w:hAnsi="仿宋" w:eastAsia="仿宋" w:cs="仿宋"/>
          <w:sz w:val="32"/>
          <w:szCs w:val="32"/>
        </w:rPr>
        <w:t>2.年度目标</w:t>
      </w:r>
    </w:p>
    <w:p>
      <w:pPr>
        <w:topLinePunct/>
        <w:spacing w:line="600" w:lineRule="exact"/>
        <w:ind w:firstLine="640" w:firstLineChars="200"/>
        <w:jc w:val="both"/>
        <w:rPr>
          <w:rFonts w:hint="default" w:ascii="仿宋_GB2312" w:eastAsia="仿宋_GB2312" w:cs="仿宋_GB2312"/>
          <w:sz w:val="32"/>
          <w:szCs w:val="32"/>
        </w:rPr>
      </w:pPr>
      <w:r>
        <w:rPr>
          <w:rFonts w:ascii="仿宋" w:hAnsi="仿宋" w:eastAsia="仿宋" w:cs="仿宋"/>
          <w:sz w:val="32"/>
          <w:szCs w:val="32"/>
        </w:rPr>
        <w:t>通过理论宣讲大赛的形式，引导工委所属广大党员干部群众在理论宣讲的形式上不断创新，在演讲的基础上，大胆采用小品、情景剧、相声、快板、诗朗诵、音诗画等多种文艺表现形式开展理论宣讲，让党的创新理论飞入寻常百姓家，同时选拔优秀队伍参加市级比赛，力争获得好成绩。</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二、绩效评价工作情况</w:t>
      </w:r>
    </w:p>
    <w:p>
      <w:pPr>
        <w:snapToGrid w:val="0"/>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（一）绩效评价目的</w:t>
      </w:r>
    </w:p>
    <w:p>
      <w:pPr>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本次绩效评价，全面了解项目决策、过程、产出和效益等情况，评价财政资金使用绩效，找出存在的问题和原因，提出建设性意见建议，进一步规范资金分配和使用，并将绩效评价结果作为编报下年预算、改进加强管理、完善政策的重要依据，进一步提高资金使用效益。</w:t>
      </w:r>
    </w:p>
    <w:p>
      <w:pPr>
        <w:topLinePunct/>
        <w:spacing w:line="600" w:lineRule="exact"/>
        <w:ind w:firstLine="800" w:firstLineChars="250"/>
        <w:jc w:val="both"/>
        <w:rPr>
          <w:rFonts w:hint="default" w:ascii="楷体" w:hAnsi="楷体" w:eastAsia="楷体" w:cs="楷体"/>
          <w:sz w:val="32"/>
          <w:szCs w:val="32"/>
        </w:rPr>
      </w:pPr>
      <w:r>
        <w:rPr>
          <w:rFonts w:ascii="楷体" w:hAnsi="楷体" w:eastAsia="楷体" w:cs="楷体"/>
          <w:sz w:val="32"/>
          <w:szCs w:val="32"/>
        </w:rPr>
        <w:t>（二）绩效评价工作方案制定过程</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1.前期调研</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调研,对相关文件的解读，根据绩效评价的基本原理、原则和项目特点，结合绩效目标，由绩效评价小组按确定的评价指标体系、评分标准、评价方法和相关的工作程序和步骤，在规定的时间节点内开展绩效评价工作。</w:t>
      </w:r>
    </w:p>
    <w:p>
      <w:pPr>
        <w:topLinePunct/>
        <w:spacing w:line="600" w:lineRule="exact"/>
        <w:ind w:firstLine="800" w:firstLineChars="250"/>
        <w:jc w:val="both"/>
        <w:rPr>
          <w:rFonts w:hint="default" w:ascii="仿宋" w:hAnsi="仿宋" w:eastAsia="仿宋" w:cs="仿宋"/>
          <w:sz w:val="32"/>
          <w:szCs w:val="32"/>
        </w:rPr>
      </w:pPr>
      <w:r>
        <w:rPr>
          <w:rFonts w:ascii="仿宋" w:hAnsi="仿宋" w:eastAsia="仿宋" w:cs="仿宋"/>
          <w:sz w:val="32"/>
          <w:szCs w:val="32"/>
        </w:rPr>
        <w:t>2.绩效评价指标体系及工作方案的设计</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绩效评价证据收集方法包括了研究、分析项目预算部门提供的相关文件；整理、汇总项目预算单位提供的项目资料、工作总结和合同；根据预算部门提供的基础数据表逐项进行核实。根据上述方法，从项目的立项合理性，目标的明确性，预算的准确性和管理制度的合规性等方面，对评价对象进行绩效评价。</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（三）绩效评价原则、评价方法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1.绩效评价原则</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(1)科学规范。绩效评价注重财政支出的经济性、效率性和有效性，严格执行规定的程序，采用定量与定性分析相结合的方法。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(2)公正公开。绩效评价客观、公正，标准统一、资料可靠，依法公开。</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(3)绩效相关。绩效评价针对具体支出及其产出绩效进行评价,结果清晰反映支出和产出绩效之间的紧密对应关系。</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2.绩效评价方法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本次主要采用因素分析法，采取数据对比，同时辅以资料研究等方法。</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（四）绩效评价实施过程</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根据《中华人民共和国预算法》《昆明市预算绩效管理暂行办法》（昆政办〔2013〕129号）等有关规定，结合部门职能职责，对照项目目标和实际完成情况，由单位分管领导牵头，各项目实施部门具体负责项目评价工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绩效评价围绕绩效目标的设定、资金投入和使用、为实现绩效目标制定的制度、采取的措施、绩效目标的实现程度及效果等方面内容开展自评。</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（五）本次绩效评价的局限性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本次项目评价由具体执行部门进行，依靠财政等有关部门和单位的指导，评价专业性不够，具有一定的局限性。</w:t>
      </w:r>
    </w:p>
    <w:p>
      <w:pPr>
        <w:topLinePunct/>
        <w:spacing w:line="600" w:lineRule="exact"/>
        <w:ind w:firstLine="800" w:firstLineChars="250"/>
        <w:jc w:val="both"/>
        <w:rPr>
          <w:rFonts w:hint="default" w:ascii="黑体" w:eastAsia="黑体" w:cs="黑体"/>
          <w:sz w:val="32"/>
          <w:szCs w:val="32"/>
        </w:rPr>
      </w:pPr>
      <w:r>
        <w:rPr>
          <w:rFonts w:ascii="黑体" w:eastAsia="黑体" w:cs="黑体"/>
          <w:sz w:val="32"/>
          <w:szCs w:val="32"/>
        </w:rPr>
        <w:t>三、评价结论和绩效分析</w:t>
      </w:r>
    </w:p>
    <w:p>
      <w:pPr>
        <w:topLinePunct/>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（一）评价结论</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1.评价结果</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项目绩效目标根据部门绩效目标制定，真实有效地反映了部门的职能，并且绩效可考核。项目资金使用有效合理，有严格的财务及内控制度把关，没有超出预算范围使用的情况发生。项目绩效指标及时完成并且完成情况良好。</w:t>
      </w:r>
    </w:p>
    <w:p>
      <w:pPr>
        <w:topLinePunct/>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2.主要绩效</w:t>
      </w:r>
    </w:p>
    <w:p>
      <w:pPr>
        <w:snapToGrid w:val="0"/>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通过理论宣讲大赛的形式，引导全市广大党员干部群众在理论宣讲的形式上不断创新，在演讲的基础上，大胆采用小品、情景剧、花灯歌舞、相声、快板、诗朗诵、顺口溜、音诗画等多种文艺表现形式开展理论宣讲，让党的创新理论飞入寻常百姓家，同时选拔优秀队伍参加省级比赛，力争获得好成绩。</w:t>
      </w:r>
    </w:p>
    <w:p>
      <w:pPr>
        <w:snapToGrid w:val="0"/>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（二）具体绩效分析</w:t>
      </w:r>
    </w:p>
    <w:tbl>
      <w:tblPr>
        <w:tblStyle w:val="16"/>
        <w:tblW w:w="0" w:type="auto"/>
        <w:tblInd w:w="93" w:type="dxa"/>
        <w:tblLayout w:type="fixed"/>
        <w:tblCellMar>
          <w:top w:w="0" w:type="dxa"/>
          <w:left w:w="108" w:type="dxa"/>
          <w:bottom w:w="0" w:type="dxa"/>
          <w:right w:w="108" w:type="dxa"/>
        </w:tblCellMar>
      </w:tblPr>
      <w:tblGrid>
        <w:gridCol w:w="789"/>
        <w:gridCol w:w="1342"/>
        <w:gridCol w:w="1422"/>
        <w:gridCol w:w="3816"/>
        <w:gridCol w:w="948"/>
      </w:tblGrid>
      <w:tr>
        <w:tblPrEx>
          <w:tblCellMar>
            <w:top w:w="0" w:type="dxa"/>
            <w:left w:w="108" w:type="dxa"/>
            <w:bottom w:w="0" w:type="dxa"/>
            <w:right w:w="108" w:type="dxa"/>
          </w:tblCellMar>
        </w:tblPrEx>
        <w:trPr>
          <w:trHeight w:val="530" w:hRule="atLeast"/>
        </w:trPr>
        <w:tc>
          <w:tcPr>
            <w:tcW w:w="789" w:type="dxa"/>
            <w:vMerge w:val="restart"/>
            <w:tcBorders>
              <w:top w:val="single" w:color="000000" w:sz="4" w:space="0"/>
              <w:left w:val="single" w:color="000000" w:sz="4" w:space="0"/>
              <w:bottom w:val="nil"/>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绩</w:t>
            </w:r>
            <w:r>
              <w:rPr>
                <w:rFonts w:cs="宋体"/>
                <w:sz w:val="22"/>
                <w:szCs w:val="22"/>
              </w:rPr>
              <w:br w:type="textWrapping"/>
            </w:r>
            <w:r>
              <w:rPr>
                <w:rFonts w:cs="宋体"/>
                <w:sz w:val="22"/>
                <w:szCs w:val="22"/>
              </w:rPr>
              <w:t>效</w:t>
            </w:r>
            <w:r>
              <w:rPr>
                <w:rFonts w:cs="宋体"/>
                <w:sz w:val="22"/>
                <w:szCs w:val="22"/>
              </w:rPr>
              <w:br w:type="textWrapping"/>
            </w:r>
            <w:r>
              <w:rPr>
                <w:rFonts w:cs="宋体"/>
                <w:sz w:val="22"/>
                <w:szCs w:val="22"/>
              </w:rPr>
              <w:t>指</w:t>
            </w:r>
            <w:r>
              <w:rPr>
                <w:rFonts w:cs="宋体"/>
                <w:sz w:val="22"/>
                <w:szCs w:val="22"/>
              </w:rPr>
              <w:br w:type="textWrapping"/>
            </w:r>
            <w:r>
              <w:rPr>
                <w:rFonts w:cs="宋体"/>
                <w:sz w:val="22"/>
                <w:szCs w:val="22"/>
              </w:rPr>
              <w:t>标</w:t>
            </w:r>
          </w:p>
        </w:tc>
        <w:tc>
          <w:tcPr>
            <w:tcW w:w="134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一级指标</w:t>
            </w:r>
          </w:p>
        </w:tc>
        <w:tc>
          <w:tcPr>
            <w:tcW w:w="14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二级指标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三级指标</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得分</w:t>
            </w:r>
          </w:p>
        </w:tc>
      </w:tr>
      <w:tr>
        <w:tblPrEx>
          <w:tblCellMar>
            <w:top w:w="0" w:type="dxa"/>
            <w:left w:w="108" w:type="dxa"/>
            <w:bottom w:w="0" w:type="dxa"/>
            <w:right w:w="108" w:type="dxa"/>
          </w:tblCellMar>
        </w:tblPrEx>
        <w:trPr>
          <w:trHeight w:val="428"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产出指标</w:t>
            </w:r>
          </w:p>
        </w:tc>
        <w:tc>
          <w:tcPr>
            <w:tcW w:w="1422"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数量指标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参赛队伍</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15</w:t>
            </w:r>
          </w:p>
        </w:tc>
      </w:tr>
      <w:tr>
        <w:tblPrEx>
          <w:tblCellMar>
            <w:top w:w="0" w:type="dxa"/>
            <w:left w:w="108" w:type="dxa"/>
            <w:bottom w:w="0" w:type="dxa"/>
            <w:right w:w="108" w:type="dxa"/>
          </w:tblCellMar>
        </w:tblPrEx>
        <w:trPr>
          <w:trHeight w:val="428"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参赛节目</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15</w:t>
            </w:r>
          </w:p>
        </w:tc>
      </w:tr>
      <w:tr>
        <w:tblPrEx>
          <w:tblCellMar>
            <w:top w:w="0" w:type="dxa"/>
            <w:left w:w="108" w:type="dxa"/>
            <w:bottom w:w="0" w:type="dxa"/>
            <w:right w:w="108" w:type="dxa"/>
          </w:tblCellMar>
        </w:tblPrEx>
        <w:trPr>
          <w:trHeight w:val="428"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比赛场次</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599"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tcBorders>
              <w:top w:val="single" w:color="000000" w:sz="4" w:space="0"/>
              <w:left w:val="nil"/>
              <w:bottom w:val="single" w:color="000000" w:sz="4" w:space="0"/>
              <w:right w:val="single" w:color="000000" w:sz="4" w:space="0"/>
            </w:tcBorders>
            <w:shd w:val="clear" w:color="auto" w:fill="auto"/>
            <w:vAlign w:val="center"/>
          </w:tcPr>
          <w:p>
            <w:pPr>
              <w:jc w:val="both"/>
              <w:rPr>
                <w:rFonts w:hint="default"/>
                <w:sz w:val="22"/>
                <w:szCs w:val="22"/>
              </w:rPr>
            </w:pPr>
            <w:r>
              <w:rPr>
                <w:rFonts w:cs="宋体"/>
                <w:sz w:val="22"/>
                <w:szCs w:val="22"/>
              </w:rPr>
              <w:t>质量指标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理论宣讲大赛在宣传和社会事业工委覆盖率</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14</w:t>
            </w:r>
          </w:p>
        </w:tc>
      </w:tr>
      <w:tr>
        <w:tblPrEx>
          <w:tblCellMar>
            <w:top w:w="0" w:type="dxa"/>
            <w:left w:w="108" w:type="dxa"/>
            <w:bottom w:w="0" w:type="dxa"/>
            <w:right w:w="108" w:type="dxa"/>
          </w:tblCellMar>
        </w:tblPrEx>
        <w:trPr>
          <w:trHeight w:val="1161"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效益指标</w:t>
            </w:r>
          </w:p>
        </w:tc>
        <w:tc>
          <w:tcPr>
            <w:tcW w:w="14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社会效益指标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活动广泛动员宣传和社会事业工委下属12家党委（党组）积极开展理论宣讲</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15</w:t>
            </w:r>
          </w:p>
        </w:tc>
      </w:tr>
      <w:tr>
        <w:tblPrEx>
          <w:tblCellMar>
            <w:top w:w="0" w:type="dxa"/>
            <w:left w:w="108" w:type="dxa"/>
            <w:bottom w:w="0" w:type="dxa"/>
            <w:right w:w="108" w:type="dxa"/>
          </w:tblCellMar>
        </w:tblPrEx>
        <w:trPr>
          <w:trHeight w:val="503"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restart"/>
            <w:tcBorders>
              <w:top w:val="nil"/>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可持续影响指标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项目宣讲活动可持续带动作用</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428"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1422" w:type="dxa"/>
            <w:vMerge w:val="continue"/>
            <w:tcBorders>
              <w:top w:val="nil"/>
              <w:left w:val="nil"/>
              <w:bottom w:val="single" w:color="000000" w:sz="4" w:space="0"/>
              <w:right w:val="single" w:color="000000" w:sz="4" w:space="0"/>
            </w:tcBorders>
            <w:shd w:val="clear" w:color="auto" w:fill="auto"/>
            <w:vAlign w:val="center"/>
          </w:tcPr>
          <w:p>
            <w:pPr>
              <w:rPr>
                <w:rFonts w:hint="default" w:ascii="Times New Roman" w:hAnsi="Times New Roman"/>
                <w:sz w:val="20"/>
                <w:szCs w:val="20"/>
              </w:rPr>
            </w:pP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项目新增理论宣讲人才</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rPr>
          <w:trHeight w:val="780" w:hRule="atLeast"/>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sz w:val="20"/>
                <w:szCs w:val="20"/>
              </w:rPr>
            </w:pPr>
          </w:p>
        </w:tc>
        <w:tc>
          <w:tcPr>
            <w:tcW w:w="134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满意度</w:t>
            </w:r>
            <w:r>
              <w:rPr>
                <w:rFonts w:cs="宋体"/>
                <w:sz w:val="22"/>
                <w:szCs w:val="22"/>
              </w:rPr>
              <w:br w:type="textWrapping"/>
            </w:r>
            <w:r>
              <w:rPr>
                <w:rFonts w:cs="宋体"/>
                <w:sz w:val="22"/>
                <w:szCs w:val="22"/>
              </w:rPr>
              <w:t>指标</w:t>
            </w:r>
          </w:p>
        </w:tc>
        <w:tc>
          <w:tcPr>
            <w:tcW w:w="1422"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服务对象满意度指标</w:t>
            </w:r>
          </w:p>
        </w:tc>
        <w:tc>
          <w:tcPr>
            <w:tcW w:w="3816"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参赛单位、公众满意度</w:t>
            </w: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r>
              <w:rPr>
                <w:rFonts w:cs="宋体"/>
                <w:sz w:val="22"/>
                <w:szCs w:val="22"/>
              </w:rPr>
              <w:t>10</w:t>
            </w:r>
          </w:p>
        </w:tc>
      </w:tr>
      <w:tr>
        <w:tblPrEx>
          <w:tblCellMar>
            <w:top w:w="0" w:type="dxa"/>
            <w:left w:w="108" w:type="dxa"/>
            <w:bottom w:w="0" w:type="dxa"/>
            <w:right w:w="108" w:type="dxa"/>
          </w:tblCellMar>
        </w:tblPrEx>
        <w:trPr>
          <w:trHeight w:val="780" w:hRule="atLeast"/>
        </w:trPr>
        <w:tc>
          <w:tcPr>
            <w:tcW w:w="7369" w:type="dxa"/>
            <w:gridSpan w:val="4"/>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sz w:val="22"/>
                <w:szCs w:val="22"/>
              </w:rPr>
            </w:pPr>
          </w:p>
        </w:tc>
        <w:tc>
          <w:tcPr>
            <w:tcW w:w="948" w:type="dxa"/>
            <w:tcBorders>
              <w:top w:val="single" w:color="000000" w:sz="4" w:space="0"/>
              <w:left w:val="nil"/>
              <w:bottom w:val="single" w:color="000000" w:sz="4" w:space="0"/>
              <w:right w:val="single" w:color="000000" w:sz="4" w:space="0"/>
            </w:tcBorders>
            <w:shd w:val="clear" w:color="auto" w:fill="auto"/>
            <w:vAlign w:val="center"/>
          </w:tcPr>
          <w:p>
            <w:pPr>
              <w:jc w:val="both"/>
              <w:textAlignment w:val="center"/>
              <w:rPr>
                <w:rFonts w:hint="default"/>
                <w:sz w:val="22"/>
                <w:szCs w:val="22"/>
              </w:rPr>
            </w:pPr>
          </w:p>
        </w:tc>
      </w:tr>
    </w:tbl>
    <w:p>
      <w:pPr>
        <w:pStyle w:val="72"/>
      </w:pPr>
      <w:r>
        <w:t xml:space="preserve"> </w:t>
      </w:r>
    </w:p>
    <w:p>
      <w:pPr>
        <w:spacing w:line="600" w:lineRule="exact"/>
        <w:ind w:firstLine="640" w:firstLineChars="200"/>
        <w:jc w:val="both"/>
        <w:rPr>
          <w:rFonts w:hint="default" w:ascii="黑体" w:eastAsia="黑体" w:cs="黑体"/>
          <w:sz w:val="32"/>
          <w:szCs w:val="32"/>
        </w:rPr>
      </w:pPr>
      <w:r>
        <w:rPr>
          <w:rFonts w:ascii="黑体" w:eastAsia="黑体" w:cs="黑体"/>
          <w:sz w:val="32"/>
          <w:szCs w:val="32"/>
        </w:rPr>
        <w:t>四、成本效益分析</w:t>
      </w:r>
    </w:p>
    <w:p>
      <w:pPr>
        <w:spacing w:line="600" w:lineRule="exact"/>
        <w:ind w:left="480" w:leftChars="200"/>
        <w:jc w:val="both"/>
        <w:rPr>
          <w:rFonts w:hint="default" w:ascii="仿宋" w:hAnsi="仿宋" w:eastAsia="仿宋" w:cs="仿宋"/>
          <w:sz w:val="32"/>
          <w:szCs w:val="32"/>
        </w:rPr>
      </w:pPr>
      <w:r>
        <w:rPr>
          <w:rFonts w:ascii="仿宋" w:hAnsi="仿宋" w:eastAsia="仿宋" w:cs="仿宋"/>
          <w:sz w:val="32"/>
          <w:szCs w:val="32"/>
        </w:rPr>
        <w:t xml:space="preserve"> 1.项目的经济性分析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在项目成本（预算）控制方面，主要从技术开发、活动宣传推广、活动场地租赁、场地布置、专家评审劳务费等方面来控制，对项目相关的费用逐一列项，严格审查，在保证项目正常实施的情况下，节约各项开支。</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2.项目支出结构</w:t>
      </w:r>
    </w:p>
    <w:p>
      <w:pPr>
        <w:spacing w:line="600" w:lineRule="exact"/>
        <w:ind w:firstLine="640" w:firstLineChars="200"/>
        <w:jc w:val="both"/>
        <w:rPr>
          <w:rFonts w:hint="default" w:ascii="仿宋" w:hAnsi="仿宋" w:eastAsia="仿宋" w:cs="仿宋"/>
        </w:rPr>
      </w:pPr>
      <w:r>
        <w:rPr>
          <w:rFonts w:ascii="仿宋" w:hAnsi="仿宋" w:eastAsia="仿宋" w:cs="仿宋"/>
          <w:sz w:val="32"/>
          <w:szCs w:val="32"/>
        </w:rPr>
        <w:t>97%费用活动场地租赁、场地布置、专家评审劳务费，取得了较好、较热的传播效果。</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3%的费用用于奖状发放，有效拉动活动参与互动积极性。</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3.项目有效性分析</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理论宣讲大赛初赛于2022年4月28、29日正式启动，市宣社工委所属12家党委（党组）推荐，语言类节目12个，文艺类节目7个参加比赛。最终，产生语言类一等奖1名、二等奖2名、三等奖3名；文艺类一等奖1名、二等奖2名、三等奖3名。文艺类奖作品《原创红色滇韵实验剧&lt;吴澄&gt;（片段）》语言类作品《借问瘟君欲何往，纸船明烛照天烧》《新时代呼唤留学青年新作为》等选送到市委宣传部，在市级理论宣讲大赛中均获得较好成绩。</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昆明报业传媒集团（昆明日报社）录制了比赛视频，并在掌上春城客户端进行了宣传。</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4.项目的可持续性分析</w:t>
      </w:r>
    </w:p>
    <w:p>
      <w:pPr>
        <w:spacing w:line="600" w:lineRule="exact"/>
        <w:jc w:val="both"/>
        <w:rPr>
          <w:rFonts w:hint="default" w:ascii="仿宋" w:hAnsi="仿宋" w:eastAsia="仿宋" w:cs="仿宋"/>
          <w:sz w:val="32"/>
          <w:szCs w:val="32"/>
        </w:rPr>
      </w:pPr>
      <w:r>
        <w:rPr>
          <w:rFonts w:ascii="仿宋" w:hAnsi="仿宋" w:eastAsia="仿宋" w:cs="仿宋"/>
          <w:sz w:val="32"/>
          <w:szCs w:val="32"/>
        </w:rPr>
        <w:t xml:space="preserve">    通过组织比赛，不断推进马克思主义中国化时代化，生动阐释“中国共产党为什么能，中国特色社会主义为什么好”，深刻阐释“马克思主义之所以行”的奥妙所在。宣讲全市广大干部群众牢固树立“今天再晚也是早、明天再早也是晚”的效率意识，以时不我待的紧迫感大抓发展，奋力谱写好中国梦的云南篇章的生动实践。</w:t>
      </w:r>
    </w:p>
    <w:p>
      <w:pPr>
        <w:topLinePunct/>
        <w:spacing w:line="600" w:lineRule="exact"/>
        <w:ind w:firstLine="640" w:firstLineChars="200"/>
        <w:jc w:val="both"/>
        <w:rPr>
          <w:rFonts w:hint="default" w:ascii="黑体" w:eastAsia="黑体" w:cs="黑体"/>
          <w:sz w:val="32"/>
          <w:szCs w:val="32"/>
        </w:rPr>
      </w:pPr>
      <w:r>
        <w:rPr>
          <w:rFonts w:ascii="黑体" w:eastAsia="黑体" w:cs="黑体"/>
          <w:sz w:val="32"/>
          <w:szCs w:val="32"/>
        </w:rPr>
        <w:t>五、主要经验及做法、存在的问题和建议</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（一）主要经验及做法</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“砥砺奋进新征程 喜迎党的二十大——党的创新理论我来讲”理论宣讲大赛初赛在类别设置上严格按照市级比赛的方案设置，分语言类、文艺类两大类。语言类宣讲每队参赛人数为1人，要求口语化、通俗化，形象生动，时间15分钟以内。文艺类宣讲每队人数不超过3人，可以采用小品、情景剧、花灯歌舞、相声、快板、诗朗诵、顺口溜、音诗画等多种文艺表现形式，时间控制在10分钟之内。语言类比赛，共计28个节目，文艺类比赛，共计29个节目。评委从宣讲主题、宣讲内容、语言表达、现场表现、着装仪表、宣讲效果等方面按照百分制现场打分。采取去掉一个最高分和一个最低分，取其余分数的平均分为选手最后得分，分数保留到小数点后两位。从高到低排出名次，确定获奖名单。</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（二）存在的问题</w:t>
      </w:r>
    </w:p>
    <w:p>
      <w:pPr>
        <w:spacing w:line="60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本次理论宣讲大赛初赛给予各位选手的准备时间不充分，参加比赛选手本身的工作比较繁重，作品有创新性，但表现形式还不足，选手演讲思路还不够开拓。</w:t>
      </w:r>
    </w:p>
    <w:p>
      <w:pPr>
        <w:spacing w:line="600" w:lineRule="exact"/>
        <w:ind w:firstLine="640" w:firstLineChars="200"/>
        <w:jc w:val="both"/>
        <w:rPr>
          <w:rFonts w:hint="default" w:ascii="楷体" w:hAnsi="楷体" w:eastAsia="楷体" w:cs="楷体"/>
          <w:sz w:val="32"/>
          <w:szCs w:val="32"/>
        </w:rPr>
      </w:pPr>
      <w:r>
        <w:rPr>
          <w:rFonts w:ascii="楷体" w:hAnsi="楷体" w:eastAsia="楷体" w:cs="楷体"/>
          <w:sz w:val="32"/>
          <w:szCs w:val="32"/>
        </w:rPr>
        <w:t>（三）改进措施及建议</w:t>
      </w:r>
    </w:p>
    <w:p>
      <w:pPr>
        <w:spacing w:line="600" w:lineRule="exact"/>
        <w:ind w:firstLine="640" w:firstLineChars="200"/>
        <w:jc w:val="both"/>
        <w:rPr>
          <w:rFonts w:ascii="仿宋" w:hAnsi="仿宋" w:eastAsia="仿宋" w:cs="仿宋"/>
          <w:sz w:val="32"/>
          <w:szCs w:val="32"/>
        </w:rPr>
      </w:pPr>
      <w:r>
        <w:rPr>
          <w:rFonts w:ascii="仿宋" w:hAnsi="仿宋" w:eastAsia="仿宋" w:cs="仿宋"/>
          <w:sz w:val="32"/>
          <w:szCs w:val="32"/>
        </w:rPr>
        <w:t>在下一届比赛的组织当中，在前期策划上，尽可能多给选手一些准备时间，给选送单位要给予推荐参加市赛的选手更多地指导和准备。</w:t>
      </w:r>
    </w:p>
    <w:p>
      <w:pPr>
        <w:spacing w:line="600" w:lineRule="exact"/>
        <w:ind w:firstLine="640" w:firstLineChars="200"/>
        <w:jc w:val="both"/>
        <w:rPr>
          <w:rFonts w:ascii="仿宋" w:hAnsi="仿宋" w:eastAsia="仿宋" w:cs="仿宋"/>
          <w:sz w:val="32"/>
          <w:szCs w:val="32"/>
        </w:rPr>
      </w:pPr>
    </w:p>
    <w:p>
      <w:pPr>
        <w:spacing w:line="600" w:lineRule="exact"/>
        <w:rPr>
          <w:rFonts w:hint="eastAsia" w:ascii="楷体_GB2312" w:eastAsia="楷体_GB2312"/>
          <w:sz w:val="32"/>
          <w:szCs w:val="32"/>
        </w:rPr>
      </w:pPr>
      <w:r>
        <w:rPr>
          <w:rFonts w:hint="eastAsia" w:ascii="楷体_GB2312" w:eastAsia="楷体_GB2312"/>
          <w:sz w:val="32"/>
          <w:szCs w:val="32"/>
        </w:rPr>
        <w:t>项目一：</w:t>
      </w:r>
    </w:p>
    <w:tbl>
      <w:tblPr>
        <w:tblStyle w:val="16"/>
        <w:tblW w:w="0" w:type="auto"/>
        <w:jc w:val="center"/>
        <w:tblLayout w:type="fixed"/>
        <w:tblCellMar>
          <w:top w:w="0" w:type="dxa"/>
          <w:left w:w="108" w:type="dxa"/>
          <w:bottom w:w="0" w:type="dxa"/>
          <w:right w:w="108" w:type="dxa"/>
        </w:tblCellMar>
      </w:tblPr>
      <w:tblGrid>
        <w:gridCol w:w="1045"/>
        <w:gridCol w:w="1183"/>
        <w:gridCol w:w="996"/>
        <w:gridCol w:w="1414"/>
        <w:gridCol w:w="709"/>
        <w:gridCol w:w="708"/>
        <w:gridCol w:w="1843"/>
        <w:gridCol w:w="2126"/>
        <w:gridCol w:w="1319"/>
      </w:tblGrid>
      <w:tr>
        <w:tblPrEx>
          <w:tblCellMar>
            <w:top w:w="0" w:type="dxa"/>
            <w:left w:w="108" w:type="dxa"/>
            <w:bottom w:w="0" w:type="dxa"/>
            <w:right w:w="108" w:type="dxa"/>
          </w:tblCellMar>
        </w:tblPrEx>
        <w:trPr>
          <w:jc w:val="center"/>
        </w:trPr>
        <w:tc>
          <w:tcPr>
            <w:tcW w:w="11343" w:type="dxa"/>
            <w:gridSpan w:val="9"/>
            <w:tcBorders>
              <w:top w:val="nil"/>
              <w:left w:val="nil"/>
              <w:bottom w:val="single" w:color="auto" w:sz="4" w:space="0"/>
              <w:right w:val="nil"/>
            </w:tcBorders>
            <w:noWrap w:val="0"/>
            <w:vAlign w:val="center"/>
          </w:tcPr>
          <w:p>
            <w:pPr>
              <w:spacing w:line="0" w:lineRule="atLeast"/>
              <w:jc w:val="center"/>
              <w:rPr>
                <w:rFonts w:eastAsia="方正小标宋简体"/>
                <w:bCs/>
                <w:sz w:val="44"/>
                <w:szCs w:val="32"/>
              </w:rPr>
            </w:pPr>
            <w:r>
              <w:rPr>
                <w:rFonts w:eastAsia="方正小标宋简体"/>
                <w:bCs/>
                <w:sz w:val="44"/>
                <w:szCs w:val="32"/>
              </w:rPr>
              <w:t>20</w:t>
            </w:r>
            <w:r>
              <w:rPr>
                <w:rFonts w:hint="eastAsia" w:eastAsia="方正小标宋简体"/>
                <w:bCs/>
                <w:sz w:val="44"/>
                <w:szCs w:val="32"/>
              </w:rPr>
              <w:t>2</w:t>
            </w:r>
            <w:r>
              <w:rPr>
                <w:rFonts w:eastAsia="方正小标宋简体"/>
                <w:bCs/>
                <w:sz w:val="44"/>
                <w:szCs w:val="32"/>
              </w:rPr>
              <w:t>1年度报纸印刷用新闻纸项目支出绩效评分表</w:t>
            </w:r>
          </w:p>
          <w:p>
            <w:pPr>
              <w:spacing w:line="0" w:lineRule="atLeast"/>
              <w:jc w:val="center"/>
              <w:rPr>
                <w:rFonts w:eastAsia="方正小标宋简体"/>
                <w:bCs/>
                <w:sz w:val="44"/>
                <w:szCs w:val="32"/>
              </w:rPr>
            </w:pPr>
          </w:p>
        </w:tc>
      </w:tr>
      <w:tr>
        <w:tblPrEx>
          <w:tblCellMar>
            <w:top w:w="0" w:type="dxa"/>
            <w:left w:w="108" w:type="dxa"/>
            <w:bottom w:w="0" w:type="dxa"/>
            <w:right w:w="108" w:type="dxa"/>
          </w:tblCellMar>
        </w:tblPrEx>
        <w:trPr>
          <w:jc w:val="center"/>
        </w:trPr>
        <w:tc>
          <w:tcPr>
            <w:tcW w:w="1045" w:type="dxa"/>
            <w:tcBorders>
              <w:top w:val="nil"/>
              <w:left w:val="single" w:color="auto" w:sz="4" w:space="0"/>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一级指标</w:t>
            </w:r>
          </w:p>
        </w:tc>
        <w:tc>
          <w:tcPr>
            <w:tcW w:w="118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二级指标</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三级指标</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四级指标</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分值</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得分</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指标解释</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评分标准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数据来源</w:t>
            </w:r>
          </w:p>
        </w:tc>
      </w:tr>
      <w:tr>
        <w:tblPrEx>
          <w:tblCellMar>
            <w:top w:w="0" w:type="dxa"/>
            <w:left w:w="108" w:type="dxa"/>
            <w:bottom w:w="0" w:type="dxa"/>
            <w:right w:w="108" w:type="dxa"/>
          </w:tblCellMar>
        </w:tblPrEx>
        <w:trPr>
          <w:jc w:val="center"/>
        </w:trPr>
        <w:tc>
          <w:tcPr>
            <w:tcW w:w="1045" w:type="dxa"/>
            <w:vMerge w:val="restart"/>
            <w:tcBorders>
              <w:top w:val="nil"/>
              <w:left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A.项目决策（20%）</w:t>
            </w:r>
          </w:p>
        </w:tc>
        <w:tc>
          <w:tcPr>
            <w:tcW w:w="1183" w:type="dxa"/>
            <w:vMerge w:val="restart"/>
            <w:tcBorders>
              <w:top w:val="nil"/>
              <w:left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A1.项目立项（8%）</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A11.与部门中长期规划目标适应性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A111.与部门中长期规划目标匹配性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考察项目与部门中长期目标是否匹配</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匹配，得满分；不匹配，不得分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部门中长期规划目标</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nil"/>
              <w:left w:val="nil"/>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A12.立项依据充分性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A121.与市政府相关规划、决策匹配性</w:t>
            </w:r>
            <w:r>
              <w:rPr>
                <w:rFonts w:hint="eastAsia"/>
                <w:color w:val="000000"/>
                <w:kern w:val="0"/>
                <w:sz w:val="18"/>
                <w:szCs w:val="18"/>
              </w:rPr>
              <w:t>，</w:t>
            </w:r>
            <w:r>
              <w:rPr>
                <w:color w:val="000000"/>
                <w:kern w:val="0"/>
                <w:sz w:val="18"/>
                <w:szCs w:val="18"/>
              </w:rPr>
              <w:t>与部门职责适应性</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考察项目是否符合市政府相关发展规划和政府决策</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符合，得满分；不符合，不得分。</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市政府相关规划、决策、批复</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left w:val="nil"/>
              <w:bottom w:val="nil"/>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A122.与部门职责适应性</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考察项目是否与部门职责密切相关</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部门职责文件</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single" w:color="auto" w:sz="4" w:space="0"/>
              <w:left w:val="nil"/>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A13.项目立项规范性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A131.前期调研情况</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考察项目立项是否经过前期调研。</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调研报告</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bottom w:val="nil"/>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left w:val="nil"/>
              <w:bottom w:val="nil"/>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A132立项程序规范性</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考察项目立项申请、设立过程是否符合相关要求。</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立项申请、批复文件</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A2.项目目标（12%）</w:t>
            </w:r>
          </w:p>
        </w:tc>
        <w:tc>
          <w:tcPr>
            <w:tcW w:w="99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A21.绩效目标设定的合理性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A211.绩效目标相关性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考察设定的绩效目标是否与事业发展规划相关。</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绩效目标申报表、部门规划、年度工作目标</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A212.绩效目标完整性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考察设定的绩效目标是否完整地反应预期产出和效果</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绩效目标申报表、年度工作目标、立项申请、批复文件</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A213.目标与预算的匹配性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考察设定的绩效目标是否与年度预算相匹配。</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A22.绩效指标设定的明确性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A221.指标细化分解情况</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3</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3</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考察是否将绩效目标细化分解为清晰、可衡量的绩效指标。</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jc w:val="center"/>
        </w:trPr>
        <w:tc>
          <w:tcPr>
            <w:tcW w:w="1045" w:type="dxa"/>
            <w:vMerge w:val="continue"/>
            <w:tcBorders>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A222.指标与目标的匹配性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3</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3</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考察设定的绩效指标是否与年度工作任务相对应。</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绩效目标申报表、年度工作任务</w:t>
            </w:r>
          </w:p>
        </w:tc>
      </w:tr>
      <w:tr>
        <w:tblPrEx>
          <w:tblCellMar>
            <w:top w:w="0" w:type="dxa"/>
            <w:left w:w="108" w:type="dxa"/>
            <w:bottom w:w="0" w:type="dxa"/>
            <w:right w:w="108" w:type="dxa"/>
          </w:tblCellMar>
        </w:tblPrEx>
        <w:trPr>
          <w:jc w:val="center"/>
        </w:trPr>
        <w:tc>
          <w:tcPr>
            <w:tcW w:w="1045" w:type="dxa"/>
            <w:vMerge w:val="restart"/>
            <w:tcBorders>
              <w:top w:val="nil"/>
              <w:left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B.项目管理（20%）</w:t>
            </w:r>
          </w:p>
        </w:tc>
        <w:tc>
          <w:tcPr>
            <w:tcW w:w="118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B1.投入管理（4%）</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B11.预算编制合理性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考察预算编制是否充分、合理的预计项目支出并完整反应</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合理得满分；存在一项不合理，扣0.5分，扣完为止</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预算分析、预算批复</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B12.预算调整规范性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考察存在预算调整时是否按照相关规定执行调整程序。</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规范，得满分；部分规范，得一分；不规范，不得分。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预算调整文件</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B13.预算执行率</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考察项目预算执行的进度。预算执行率=实际支出金额/项目预算金额×100%</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预算执行率95%以上，得满分；低于95%，每下降1%扣权重的1%；预算执行率60%以下，不计分。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B2.财务管理（6%）</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B21.资金使用情况</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考察项目资金使用是否符合预算批复的用途，是否存在截留、挤占、挪用、虚列支出等情况。</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合规，得满分；存在一项不合规，扣1分，扣完为止。</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B22.财务管理制度健全性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考察项目的财务制度是否健全、完善、有效。</w:t>
            </w:r>
          </w:p>
        </w:tc>
        <w:tc>
          <w:tcPr>
            <w:tcW w:w="2126" w:type="dxa"/>
            <w:tcBorders>
              <w:top w:val="nil"/>
              <w:left w:val="nil"/>
              <w:bottom w:val="single" w:color="auto" w:sz="4" w:space="0"/>
              <w:right w:val="single" w:color="auto" w:sz="4" w:space="0"/>
            </w:tcBorders>
            <w:noWrap w:val="0"/>
            <w:vAlign w:val="top"/>
          </w:tcPr>
          <w:p>
            <w:pPr>
              <w:widowControl/>
              <w:spacing w:line="0" w:lineRule="atLeast"/>
              <w:rPr>
                <w:color w:val="000000"/>
                <w:kern w:val="0"/>
                <w:sz w:val="18"/>
                <w:szCs w:val="18"/>
              </w:rPr>
            </w:pPr>
            <w:r>
              <w:rPr>
                <w:color w:val="000000"/>
                <w:kern w:val="0"/>
                <w:sz w:val="18"/>
                <w:szCs w:val="18"/>
              </w:rPr>
              <w:t>a.是否已制定或具有相应的财务管理办法； b.项目财务管理办法是否符合相关财务会计制度的规定；  c.是否存在需要完善的风险控制环节。符合所有条件，得满分； 一项不符合，扣1分，扣完为止。</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财务管理制度</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B23.财务监控有效性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B231.资金拨付程序完整性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考察资金拨付是否具有完整的审批程序和手续，是否符合相关制度规定。</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资金拨付申请、审批手续完整，得满分；存在一例手续不完整，不得分。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支付申请单、支付指令</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B232财务制度执行有效性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考察是否存在违反相关财务管理制度的情况。</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不存在，得满分；存在1例，不得分。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财务管理制度、访谈、会计凭证</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restart"/>
            <w:tcBorders>
              <w:top w:val="nil"/>
              <w:left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B3.项目实施（10%）</w:t>
            </w:r>
          </w:p>
        </w:tc>
        <w:tc>
          <w:tcPr>
            <w:tcW w:w="996" w:type="dxa"/>
            <w:vMerge w:val="restart"/>
            <w:tcBorders>
              <w:top w:val="nil"/>
              <w:left w:val="nil"/>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B31.项目管理制度健全性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B311.项目实施单位管理制度健全性</w:t>
            </w:r>
            <w:r>
              <w:rPr>
                <w:rFonts w:hint="eastAsia"/>
                <w:color w:val="000000"/>
                <w:kern w:val="0"/>
                <w:sz w:val="18"/>
                <w:szCs w:val="18"/>
              </w:rPr>
              <w:t>，</w:t>
            </w:r>
            <w:r>
              <w:rPr>
                <w:color w:val="000000"/>
                <w:kern w:val="0"/>
                <w:sz w:val="18"/>
                <w:szCs w:val="18"/>
              </w:rPr>
              <w:t>管理方监管措施健全性</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项目实施单位为保障项目顺利实施制订的与项目直接相关的业务管理制度是否健全、完善和有效。</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制订相关制度或采取措施，得满分；制度不完善或者措施不明确，得权重的60%；没有相关制度或措施，不得分。</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项目实施单位管理制度、访谈、现场调查</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color w:val="000000"/>
                <w:kern w:val="0"/>
                <w:sz w:val="18"/>
                <w:szCs w:val="18"/>
              </w:rPr>
            </w:pPr>
          </w:p>
        </w:tc>
        <w:tc>
          <w:tcPr>
            <w:tcW w:w="996" w:type="dxa"/>
            <w:vMerge w:val="continue"/>
            <w:tcBorders>
              <w:left w:val="nil"/>
              <w:bottom w:val="nil"/>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B312管理方监管措施健全性</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考察项目主管部门为保障项目顺利实施制订的与项目直接相关的业务管理制度是否健全，完善和有效。</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监管措施明确、完善，得满分；每存在一项需要完善的风险控制点，扣权重的30%，扣完为止。</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管理制度、访谈、现场调查</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color w:val="000000"/>
                <w:kern w:val="0"/>
                <w:sz w:val="18"/>
                <w:szCs w:val="18"/>
              </w:rPr>
            </w:pPr>
          </w:p>
        </w:tc>
        <w:tc>
          <w:tcPr>
            <w:tcW w:w="99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B32.项目管理制度执行有效性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B321.项目实施单位管理制度执行情况</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考察项目实施单位制订的管理制度是否有效执行。</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有效执行，得满分；部分执行，得权重的60%；未执行，不得分。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项目实施单位管理制度、现场调查</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B322.监管措施执行情况</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项目主管部门所制订的监管措施是否有效执行。</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有效执行，得满分；部分执行，得权重的60%；未执行，不得分。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管理制度、现场调查</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B323.合同执行情况</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考察与项目相关的合同是否有效执行。</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有效执行，得满分；部分执行，得权重的60%；未执行，不得分。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合同、现场调查</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B324.台账记录规范性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考察项目实施过程中的相关台账记录是否完整，并符合要求。</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规范，得满分；部分规范，得权重的60%；不规范，不得分。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B33.政府采购规范性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B331.采购方式合规性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考察采购方式是否符合国家、本市的相关要求。</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符合相关要求，得满分；一项不符合，不得分。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政府采购相关材料</w:t>
            </w:r>
          </w:p>
        </w:tc>
      </w:tr>
      <w:tr>
        <w:tblPrEx>
          <w:tblCellMar>
            <w:top w:w="0" w:type="dxa"/>
            <w:left w:w="108" w:type="dxa"/>
            <w:bottom w:w="0" w:type="dxa"/>
            <w:right w:w="108" w:type="dxa"/>
          </w:tblCellMar>
        </w:tblPrEx>
        <w:trPr>
          <w:jc w:val="center"/>
        </w:trPr>
        <w:tc>
          <w:tcPr>
            <w:tcW w:w="1045" w:type="dxa"/>
            <w:vMerge w:val="continue"/>
            <w:tcBorders>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B332.采购流程规范性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考察采购流程是否符合相关规定。</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符合相关要求，得满分；一项不符合，不得分。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政府采购相关材料</w:t>
            </w:r>
          </w:p>
        </w:tc>
      </w:tr>
      <w:tr>
        <w:tblPrEx>
          <w:tblCellMar>
            <w:top w:w="0" w:type="dxa"/>
            <w:left w:w="108" w:type="dxa"/>
            <w:bottom w:w="0" w:type="dxa"/>
            <w:right w:w="108" w:type="dxa"/>
          </w:tblCellMar>
        </w:tblPrEx>
        <w:trPr>
          <w:jc w:val="center"/>
        </w:trPr>
        <w:tc>
          <w:tcPr>
            <w:tcW w:w="104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C.项目绩效（60%）</w:t>
            </w:r>
          </w:p>
        </w:tc>
        <w:tc>
          <w:tcPr>
            <w:tcW w:w="1183" w:type="dxa"/>
            <w:vMerge w:val="restart"/>
            <w:tcBorders>
              <w:top w:val="nil"/>
              <w:left w:val="single" w:color="auto" w:sz="4" w:space="0"/>
              <w:bottom w:val="nil"/>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C1.项目产出（30%）</w:t>
            </w:r>
          </w:p>
        </w:tc>
        <w:tc>
          <w:tcPr>
            <w:tcW w:w="996" w:type="dxa"/>
            <w:vMerge w:val="restart"/>
            <w:tcBorders>
              <w:top w:val="nil"/>
              <w:left w:val="single" w:color="auto" w:sz="4" w:space="0"/>
              <w:bottom w:val="nil"/>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C11.数量指标</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C111.昆明日报年出版365期</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日报，每天出版，全年出版365期</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全部出版、得满分；少出版一期扣1分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实际统计数</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nil"/>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nil"/>
              <w:left w:val="single" w:color="auto" w:sz="4" w:space="0"/>
              <w:bottom w:val="nil"/>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C112.日均出版12版</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平均每天出版版数为8开12版</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全部出版、得满分；少出版一期扣2分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实际统计数</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nil"/>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nil"/>
              <w:left w:val="single" w:color="auto" w:sz="4" w:space="0"/>
              <w:bottom w:val="nil"/>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C113.昆明日报日均发行量7.5万份</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8</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8</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每天面向社会公众公开发行数量为7.5万份</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全部出版、得满分；少出版一期扣3分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实际统计数</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nil"/>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C12.质量指标</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C121.报纸印刷质量</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6</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5.9</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版心居中、文字清晰、墨色均匀、色彩真实、套印准确</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报纸每版外观出现皱折、脏污，视其面积大小扣0.1～1分；版心中由于各种原因出现局部墨色轻重不匀现象或局部重影，扣0.5～1分。 漏印字迹，字迹糊死的，每处扣0.1分；正反面版心严重偏差，影响美观，每次扣1分；文字套印不准，每次扣1分。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印刷厂统计数据</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nil"/>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C122.内容准确率、内容传播效果</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6</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5.8</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坚守正确舆论导向这条生命线，坚持不懈提高办报质量，确保圆满完成各项宣传任务，坚决杜绝重大新闻安全事故和采编责任事故</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新闻报道出现一般性差错的，每次扣0.1分，出现重大采编责任事故每次扣3分。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市委宣传部阅评通报</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C2.项目效益（30%）</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C21.社会效益</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C211新闻宣传效果、舆论引导效果、时政要闻、经济新闻、都市新闻、县区新闻、国际国内新闻</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15</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15</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坚持正面宣传为主，讲好昆明故事，传播春城好声音，不断提高新闻宣传的质量和舆论引导的水平</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新闻报道、舆论引导出现一般性差错的，每次扣0.1分，出现重大采编责任事故每次扣3分。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市委宣传部阅评通报</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C22.生态效益</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C221.润版液、油墨、CTP板材等印刷材料</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15</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15</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使用中国环保认证产品</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使用不符合环保要求产品的，每次扣1分。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印刷厂</w:t>
            </w:r>
          </w:p>
        </w:tc>
      </w:tr>
      <w:tr>
        <w:tblPrEx>
          <w:tblCellMar>
            <w:top w:w="0" w:type="dxa"/>
            <w:left w:w="108" w:type="dxa"/>
            <w:bottom w:w="0" w:type="dxa"/>
            <w:right w:w="108" w:type="dxa"/>
          </w:tblCellMar>
        </w:tblPrEx>
        <w:trPr>
          <w:jc w:val="center"/>
        </w:trPr>
        <w:tc>
          <w:tcPr>
            <w:tcW w:w="1045" w:type="dxa"/>
            <w:tcBorders>
              <w:top w:val="nil"/>
              <w:left w:val="single" w:color="auto" w:sz="4" w:space="0"/>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合计</w:t>
            </w:r>
          </w:p>
        </w:tc>
        <w:tc>
          <w:tcPr>
            <w:tcW w:w="118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100%</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100分</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99.7分</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1319" w:type="dxa"/>
            <w:tcBorders>
              <w:top w:val="nil"/>
              <w:left w:val="nil"/>
              <w:bottom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r>
              <w:rPr>
                <w:rFonts w:eastAsia="仿宋_GB2312"/>
                <w:b/>
                <w:bCs/>
                <w:color w:val="000000"/>
                <w:kern w:val="0"/>
                <w:sz w:val="28"/>
                <w:szCs w:val="28"/>
              </w:rPr>
              <w:t>　</w:t>
            </w:r>
          </w:p>
        </w:tc>
      </w:tr>
    </w:tbl>
    <w:p>
      <w:pPr>
        <w:widowControl/>
        <w:rPr>
          <w:rFonts w:hint="eastAsia" w:ascii="方正小标宋_GBK" w:eastAsia="方正小标宋_GBK"/>
          <w:sz w:val="28"/>
          <w:szCs w:val="28"/>
        </w:rPr>
      </w:pPr>
      <w:r>
        <w:rPr>
          <w:rFonts w:hint="eastAsia" w:ascii="方正小标宋_GBK" w:eastAsia="方正小标宋_GBK"/>
          <w:sz w:val="28"/>
          <w:szCs w:val="28"/>
        </w:rPr>
        <w:br w:type="page"/>
      </w:r>
      <w:r>
        <w:rPr>
          <w:rFonts w:hint="eastAsia" w:ascii="楷体_GB2312" w:eastAsia="楷体_GB2312"/>
          <w:sz w:val="32"/>
          <w:szCs w:val="32"/>
        </w:rPr>
        <w:t>项目二：</w:t>
      </w:r>
    </w:p>
    <w:p>
      <w:pPr>
        <w:rPr>
          <w:rFonts w:ascii="方正小标宋_GBK" w:eastAsia="方正小标宋_GBK"/>
          <w:sz w:val="28"/>
          <w:szCs w:val="28"/>
        </w:rPr>
      </w:pPr>
    </w:p>
    <w:p>
      <w:pPr>
        <w:spacing w:line="0" w:lineRule="atLeast"/>
        <w:jc w:val="center"/>
        <w:rPr>
          <w:rFonts w:hint="eastAsia" w:eastAsia="方正小标宋简体"/>
          <w:bCs/>
          <w:sz w:val="44"/>
          <w:szCs w:val="32"/>
        </w:rPr>
      </w:pPr>
      <w:r>
        <w:rPr>
          <w:rFonts w:hint="eastAsia" w:eastAsia="方正小标宋简体"/>
          <w:bCs/>
          <w:sz w:val="44"/>
          <w:szCs w:val="32"/>
        </w:rPr>
        <w:t>《看昆明》外宣杂志编辑出版补助项目支出绩效评分表</w:t>
      </w:r>
    </w:p>
    <w:tbl>
      <w:tblPr>
        <w:tblStyle w:val="16"/>
        <w:tblW w:w="0" w:type="auto"/>
        <w:jc w:val="center"/>
        <w:tblLayout w:type="fixed"/>
        <w:tblCellMar>
          <w:top w:w="0" w:type="dxa"/>
          <w:left w:w="108" w:type="dxa"/>
          <w:bottom w:w="0" w:type="dxa"/>
          <w:right w:w="108" w:type="dxa"/>
        </w:tblCellMar>
      </w:tblPr>
      <w:tblGrid>
        <w:gridCol w:w="891"/>
        <w:gridCol w:w="944"/>
        <w:gridCol w:w="1105"/>
        <w:gridCol w:w="1056"/>
        <w:gridCol w:w="489"/>
        <w:gridCol w:w="437"/>
        <w:gridCol w:w="2141"/>
        <w:gridCol w:w="2034"/>
        <w:gridCol w:w="1489"/>
        <w:gridCol w:w="739"/>
      </w:tblGrid>
      <w:tr>
        <w:tblPrEx>
          <w:tblCellMar>
            <w:top w:w="0" w:type="dxa"/>
            <w:left w:w="108" w:type="dxa"/>
            <w:bottom w:w="0" w:type="dxa"/>
            <w:right w:w="108" w:type="dxa"/>
          </w:tblCellMar>
        </w:tblPrEx>
        <w:trPr>
          <w:trHeight w:val="517"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44"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56"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89"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437"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2141"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2034"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489"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c>
          <w:tcPr>
            <w:tcW w:w="739" w:type="dxa"/>
            <w:tcBorders>
              <w:top w:val="single" w:color="auto" w:sz="4" w:space="0"/>
              <w:left w:val="nil"/>
              <w:bottom w:val="single" w:color="auto" w:sz="4" w:space="0"/>
              <w:right w:val="single" w:color="auto" w:sz="4" w:space="0"/>
            </w:tcBorders>
            <w:noWrap w:val="0"/>
            <w:vAlign w:val="center"/>
          </w:tcPr>
          <w:p>
            <w:pPr>
              <w:widowControl/>
              <w:spacing w:line="0" w:lineRule="atLeast"/>
              <w:rPr>
                <w:rFonts w:hint="eastAsia" w:ascii="宋体" w:hAnsi="宋体" w:cs="宋体"/>
                <w:b/>
                <w:bCs/>
                <w:color w:val="000000"/>
                <w:kern w:val="0"/>
                <w:sz w:val="18"/>
                <w:szCs w:val="18"/>
              </w:rPr>
            </w:pPr>
          </w:p>
        </w:tc>
      </w:tr>
      <w:tr>
        <w:tblPrEx>
          <w:tblCellMar>
            <w:top w:w="0" w:type="dxa"/>
            <w:left w:w="108" w:type="dxa"/>
            <w:bottom w:w="0" w:type="dxa"/>
            <w:right w:w="108" w:type="dxa"/>
          </w:tblCellMar>
        </w:tblPrEx>
        <w:trPr>
          <w:trHeight w:val="862" w:hRule="atLeast"/>
          <w:jc w:val="center"/>
        </w:trPr>
        <w:tc>
          <w:tcPr>
            <w:tcW w:w="89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05"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部门中长期规划目标</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005"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市政府相关规划、决策、批复</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部门职责文件</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调研报告</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立项申请、批复文件</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76"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0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4"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90"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61"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47"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689" w:hRule="atLeast"/>
          <w:jc w:val="center"/>
        </w:trPr>
        <w:tc>
          <w:tcPr>
            <w:tcW w:w="89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05"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预算调整文件</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178"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34"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05"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2</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183"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2034" w:type="dxa"/>
            <w:tcBorders>
              <w:top w:val="nil"/>
              <w:left w:val="nil"/>
              <w:bottom w:val="single" w:color="auto" w:sz="4" w:space="0"/>
              <w:right w:val="single" w:color="auto" w:sz="4" w:space="0"/>
            </w:tcBorders>
            <w:noWrap w:val="0"/>
            <w:vAlign w:val="top"/>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18"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18"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149"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0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34"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47"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05"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47"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合同、现场调查</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47"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台账记录</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88" w:hRule="atLeast"/>
          <w:jc w:val="center"/>
        </w:trPr>
        <w:tc>
          <w:tcPr>
            <w:tcW w:w="89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0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C11.数量指标</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C111.年出版期数</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12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考察杂志每年出版期数为12期</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出满12期得满分；每少出期，扣1分。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杂志出版工作台账</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90"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C112.每期杂志页数</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6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考察每期杂志是否达到预订的120页。</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达到120页，得满分；每少一页扣0.1分，扣完为止。</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杂志出版工作台账</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178"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C12.质量指标</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C121.差错率</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4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考察杂志错差率不超过万分之三</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考察杂志每1万文字，差错数量不多于3处，超过此标准的，每处扣0.1分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新闻出版总署《图书质量管理规定》</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47"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C122.印刷质量</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4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考察杂志印刷质量，印刷或装订不得出现明显瑕疵或差错</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无瑕疵或差错，得满分；存在一次扣1分，扣完为止。</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《书刊印刷标准》</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C13.时效指标</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C131.杂志发行效率</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考察杂志是否在较短时间内发行到位。</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及时完成，得满分；完成但不及时，得权重的50%；未完成，不得分。</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发行工作报告</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r>
      <w:tr>
        <w:tblPrEx>
          <w:tblCellMar>
            <w:top w:w="0" w:type="dxa"/>
            <w:left w:w="108" w:type="dxa"/>
            <w:bottom w:w="0" w:type="dxa"/>
            <w:right w:w="108" w:type="dxa"/>
          </w:tblCellMar>
        </w:tblPrEx>
        <w:trPr>
          <w:trHeight w:val="339"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05"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C21.社会效益</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C211.读者满意度</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15</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15　</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考察杂志读者对杂志内容、印刷、发行工作是否满意。</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全面无投诉得满分；存在一次投诉的情况，扣权重的30%，扣完为止。</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报表、会议纪要、访谈</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02"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05"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C22.生态效益</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C221.杂志印刷是否采用环保材料，达到环保要求</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15</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15</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考察杂志印刷工作是否达到环保要求。</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达到环保要求得满分；每增加1%，如出现未使用环保材料的，每出现一次扣1分，扣完为止。</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杂志印刷工作台账</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91" w:type="dxa"/>
            <w:tcBorders>
              <w:top w:val="nil"/>
              <w:left w:val="single" w:color="auto" w:sz="4" w:space="0"/>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4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105"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5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98分</w:t>
            </w:r>
          </w:p>
        </w:tc>
        <w:tc>
          <w:tcPr>
            <w:tcW w:w="2141"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203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73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b/>
                <w:bCs/>
                <w:color w:val="000000"/>
                <w:kern w:val="0"/>
                <w:sz w:val="18"/>
                <w:szCs w:val="18"/>
              </w:rPr>
            </w:pPr>
          </w:p>
        </w:tc>
      </w:tr>
    </w:tbl>
    <w:p>
      <w:pPr>
        <w:rPr>
          <w:rFonts w:ascii="方正小标宋_GBK" w:eastAsia="方正小标宋_GBK"/>
          <w:sz w:val="28"/>
          <w:szCs w:val="28"/>
        </w:rPr>
      </w:pPr>
    </w:p>
    <w:p>
      <w:pPr>
        <w:widowControl/>
        <w:jc w:val="left"/>
        <w:rPr>
          <w:rFonts w:hint="eastAsia" w:ascii="楷体_GB2312" w:eastAsia="楷体_GB2312"/>
          <w:sz w:val="32"/>
          <w:szCs w:val="32"/>
        </w:rPr>
      </w:pPr>
      <w:r>
        <w:rPr>
          <w:rFonts w:ascii="方正小标宋_GBK" w:eastAsia="方正小标宋_GBK"/>
          <w:sz w:val="32"/>
          <w:szCs w:val="32"/>
        </w:rPr>
        <w:br w:type="page"/>
      </w:r>
      <w:r>
        <w:rPr>
          <w:rFonts w:hint="eastAsia" w:ascii="楷体_GB2312" w:eastAsia="楷体_GB2312"/>
          <w:sz w:val="32"/>
          <w:szCs w:val="32"/>
        </w:rPr>
        <w:t xml:space="preserve"> 项目三：</w:t>
      </w:r>
    </w:p>
    <w:p>
      <w:pPr>
        <w:widowControl/>
        <w:jc w:val="center"/>
        <w:rPr>
          <w:rFonts w:ascii="方正小标宋_GBK" w:eastAsia="方正小标宋_GBK"/>
          <w:sz w:val="44"/>
          <w:szCs w:val="44"/>
        </w:rPr>
      </w:pPr>
      <w:r>
        <w:rPr>
          <w:rFonts w:hint="eastAsia" w:eastAsia="方正小标宋简体"/>
          <w:bCs/>
          <w:sz w:val="44"/>
          <w:szCs w:val="32"/>
        </w:rPr>
        <w:t>昆明市“砥砺奋进新征程 喜迎党的二十大 党的创新理论我来讲”理论宣讲大赛项目支出绩效评价共性指标体系框架</w:t>
      </w:r>
    </w:p>
    <w:tbl>
      <w:tblPr>
        <w:tblStyle w:val="16"/>
        <w:tblpPr w:leftFromText="180" w:rightFromText="180" w:vertAnchor="text" w:horzAnchor="page" w:tblpX="1201" w:tblpY="383"/>
        <w:tblW w:w="0" w:type="auto"/>
        <w:tblInd w:w="0" w:type="dxa"/>
        <w:tblLayout w:type="fixed"/>
        <w:tblCellMar>
          <w:top w:w="0" w:type="dxa"/>
          <w:left w:w="108" w:type="dxa"/>
          <w:bottom w:w="0" w:type="dxa"/>
          <w:right w:w="108" w:type="dxa"/>
        </w:tblCellMar>
      </w:tblPr>
      <w:tblGrid>
        <w:gridCol w:w="846"/>
        <w:gridCol w:w="970"/>
        <w:gridCol w:w="1142"/>
        <w:gridCol w:w="1069"/>
        <w:gridCol w:w="499"/>
        <w:gridCol w:w="575"/>
        <w:gridCol w:w="1863"/>
        <w:gridCol w:w="1803"/>
        <w:gridCol w:w="1645"/>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5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86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8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云南省委宣传部下发的活动通知</w:t>
            </w:r>
          </w:p>
        </w:tc>
      </w:tr>
      <w:tr>
        <w:tblPrEx>
          <w:tblCellMar>
            <w:top w:w="0" w:type="dxa"/>
            <w:left w:w="108" w:type="dxa"/>
            <w:bottom w:w="0" w:type="dxa"/>
            <w:right w:w="108" w:type="dxa"/>
          </w:tblCellMar>
        </w:tblPrEx>
        <w:trPr>
          <w:trHeight w:val="10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2</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昆明市委宣传部下发的活动通知</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昆明市委宣传部下发的活动通知</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《“砥砺奋进新征程 喜迎党的二十大——党的创新理论我来讲”昆明市理论宣讲大赛活动方案》</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昆明市委宣传部下发的活动通知</w:t>
            </w:r>
          </w:p>
        </w:tc>
      </w:tr>
      <w:tr>
        <w:tblPrEx>
          <w:tblCellMar>
            <w:top w:w="0" w:type="dxa"/>
            <w:left w:w="108" w:type="dxa"/>
            <w:bottom w:w="0" w:type="dxa"/>
            <w:right w:w="108" w:type="dxa"/>
          </w:tblCellMar>
        </w:tblPrEx>
        <w:trPr>
          <w:trHeight w:val="9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《项目申报绩效目标表》《部务会会议纪要》</w:t>
            </w:r>
          </w:p>
        </w:tc>
      </w:tr>
      <w:tr>
        <w:tblPrEx>
          <w:tblCellMar>
            <w:top w:w="0" w:type="dxa"/>
            <w:left w:w="108" w:type="dxa"/>
            <w:bottom w:w="0" w:type="dxa"/>
            <w:right w:w="108" w:type="dxa"/>
          </w:tblCellMar>
        </w:tblPrEx>
        <w:trPr>
          <w:trHeight w:val="79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1623"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《“砥砺奋进新征程 喜迎党的二十大——党的创新理论我来讲”昆明市理论宣讲大赛活动方案》</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803" w:type="dxa"/>
            <w:tcBorders>
              <w:top w:val="nil"/>
              <w:left w:val="nil"/>
              <w:bottom w:val="single" w:color="auto" w:sz="4" w:space="0"/>
              <w:right w:val="single" w:color="auto" w:sz="4" w:space="0"/>
            </w:tcBorders>
            <w:noWrap w:val="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120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《“砥砺奋进新征程 喜迎党的二十大——党的创新理论我来讲”昆明市理论宣讲大赛活动方案》</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94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1147"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C11.活动宣传情况</w:t>
            </w:r>
          </w:p>
        </w:tc>
        <w:tc>
          <w:tcPr>
            <w:tcW w:w="1069"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C111.活动开展情况的报道</w:t>
            </w:r>
          </w:p>
        </w:tc>
        <w:tc>
          <w:tcPr>
            <w:tcW w:w="499"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8</w:t>
            </w:r>
          </w:p>
        </w:tc>
        <w:tc>
          <w:tcPr>
            <w:tcW w:w="575"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8　</w:t>
            </w: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考察活动开展情况的报道是否取得相应效果。</w:t>
            </w:r>
          </w:p>
        </w:tc>
        <w:tc>
          <w:tcPr>
            <w:tcW w:w="180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取得较好效果，得满分；宣传效果不好，不得分。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C112.优秀参赛作品宣传情况</w:t>
            </w:r>
          </w:p>
        </w:tc>
        <w:tc>
          <w:tcPr>
            <w:tcW w:w="499" w:type="dxa"/>
            <w:tcBorders>
              <w:top w:val="nil"/>
              <w:left w:val="nil"/>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75"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8　</w:t>
            </w:r>
          </w:p>
        </w:tc>
        <w:tc>
          <w:tcPr>
            <w:tcW w:w="186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考察优秀宣讲作品的宣传是否取得相应效果。</w:t>
            </w:r>
          </w:p>
        </w:tc>
        <w:tc>
          <w:tcPr>
            <w:tcW w:w="180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取得较好效果，得满分；宣传效果不好，不得分。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C12.比赛完成情况</w:t>
            </w: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C121.比赛氛围营造</w:t>
            </w:r>
          </w:p>
        </w:tc>
        <w:tc>
          <w:tcPr>
            <w:tcW w:w="49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考察比赛的赛前氛围营造是否取得预期效果。</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取得较好效果，得满分；未取得预期效果，不得分。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C122.比赛形式</w:t>
            </w:r>
          </w:p>
        </w:tc>
        <w:tc>
          <w:tcPr>
            <w:tcW w:w="49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考察比赛形式是否多样，是否有创新。</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在形式上一改单一的演讲模式，增加文艺+理论宣讲的创新模式，得满分；未进行创新不得分。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C131.比赛内容</w:t>
            </w:r>
          </w:p>
        </w:tc>
        <w:tc>
          <w:tcPr>
            <w:tcW w:w="49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比赛内容是否深入浅出地宣讲了党的创新理论。</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较好地宣讲了党的创新理论的得满分；仍有未充分讲解党的创新理论的，适当扣分。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C141.比赛宣传效果</w:t>
            </w:r>
          </w:p>
        </w:tc>
        <w:tc>
          <w:tcPr>
            <w:tcW w:w="49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是否符合昆明市委宣传部下发的活动通知</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27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42" w:type="dxa"/>
            <w:vMerge w:val="restart"/>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C21.项目效益指标</w:t>
            </w: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C211.市级比赛或推荐情况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考察此次比赛获奖的节目是否获得参加省级比赛的推荐</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23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C221.可持续影响效益指标</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是否符合昆明市委宣传部下发的活动通知</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7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575"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98分</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
      <w:pPr>
        <w:pStyle w:val="72"/>
        <w:rPr>
          <w:rFonts w:hint="eastAsia" w:ascii="楷体_GB2312" w:eastAsia="楷体_GB2312"/>
          <w:sz w:val="32"/>
          <w:szCs w:val="32"/>
        </w:rPr>
      </w:pPr>
      <w:r>
        <w:rPr>
          <w:rFonts w:hint="eastAsia" w:ascii="楷体_GB2312" w:eastAsia="楷体_GB2312"/>
          <w:sz w:val="32"/>
          <w:szCs w:val="32"/>
        </w:rPr>
        <w:br w:type="page"/>
      </w:r>
      <w:r>
        <w:rPr>
          <w:rFonts w:hint="eastAsia" w:ascii="楷体_GB2312" w:eastAsia="楷体_GB2312"/>
          <w:sz w:val="32"/>
          <w:szCs w:val="32"/>
        </w:rPr>
        <w:t>项目四：</w:t>
      </w:r>
    </w:p>
    <w:p>
      <w:pPr>
        <w:widowControl/>
        <w:jc w:val="center"/>
        <w:rPr>
          <w:rFonts w:hint="eastAsia" w:eastAsia="方正小标宋简体"/>
          <w:bCs/>
          <w:sz w:val="44"/>
          <w:szCs w:val="32"/>
        </w:rPr>
      </w:pPr>
      <w:r>
        <w:rPr>
          <w:rFonts w:hint="eastAsia" w:eastAsia="方正小标宋简体"/>
          <w:bCs/>
          <w:sz w:val="44"/>
          <w:szCs w:val="32"/>
        </w:rPr>
        <w:t>第三届昆明市“学习强国·学习达人”学习竞赛项目支出绩效</w:t>
      </w:r>
    </w:p>
    <w:p>
      <w:pPr>
        <w:widowControl/>
        <w:jc w:val="center"/>
        <w:rPr>
          <w:rFonts w:ascii="方正小标宋_GBK" w:eastAsia="方正小标宋_GBK"/>
          <w:sz w:val="28"/>
          <w:szCs w:val="28"/>
        </w:rPr>
      </w:pPr>
      <w:r>
        <w:rPr>
          <w:rFonts w:hint="eastAsia" w:eastAsia="方正小标宋简体"/>
          <w:bCs/>
          <w:sz w:val="44"/>
          <w:szCs w:val="32"/>
        </w:rPr>
        <w:t>评价共性指标体系框架</w:t>
      </w:r>
    </w:p>
    <w:tbl>
      <w:tblPr>
        <w:tblStyle w:val="16"/>
        <w:tblpPr w:leftFromText="180" w:rightFromText="180" w:vertAnchor="text" w:horzAnchor="page" w:tblpX="1201" w:tblpY="383"/>
        <w:tblW w:w="0" w:type="auto"/>
        <w:tblInd w:w="0" w:type="dxa"/>
        <w:tblLayout w:type="fixed"/>
        <w:tblCellMar>
          <w:top w:w="0" w:type="dxa"/>
          <w:left w:w="108" w:type="dxa"/>
          <w:bottom w:w="0" w:type="dxa"/>
          <w:right w:w="108" w:type="dxa"/>
        </w:tblCellMar>
      </w:tblPr>
      <w:tblGrid>
        <w:gridCol w:w="846"/>
        <w:gridCol w:w="970"/>
        <w:gridCol w:w="1142"/>
        <w:gridCol w:w="1069"/>
        <w:gridCol w:w="499"/>
        <w:gridCol w:w="575"/>
        <w:gridCol w:w="1863"/>
        <w:gridCol w:w="1803"/>
        <w:gridCol w:w="1645"/>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5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86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8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中共昆明市委宣传部下发的《关于组织举办第三届昆明市“学习强国·学习达人”学习竞赛的通知》</w:t>
            </w:r>
          </w:p>
        </w:tc>
      </w:tr>
      <w:tr>
        <w:tblPrEx>
          <w:tblCellMar>
            <w:top w:w="0" w:type="dxa"/>
            <w:left w:w="108" w:type="dxa"/>
            <w:bottom w:w="0" w:type="dxa"/>
            <w:right w:w="108" w:type="dxa"/>
          </w:tblCellMar>
        </w:tblPrEx>
        <w:trPr>
          <w:trHeight w:val="10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2</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中共昆明市委宣传部下发的《关于组织举办第三届昆明市“学习强国·学习达人”学习竞赛的通知》</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《第三届昆明市“学习强国·学习达人”学习竞赛方案》</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中共昆明市委宣传部下发的《关于组织举办第三届昆明市“学习强国·学习达人”学习竞赛的通知》</w:t>
            </w:r>
          </w:p>
        </w:tc>
      </w:tr>
      <w:tr>
        <w:tblPrEx>
          <w:tblCellMar>
            <w:top w:w="0" w:type="dxa"/>
            <w:left w:w="108" w:type="dxa"/>
            <w:bottom w:w="0" w:type="dxa"/>
            <w:right w:w="108" w:type="dxa"/>
          </w:tblCellMar>
        </w:tblPrEx>
        <w:trPr>
          <w:trHeight w:val="9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79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72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《第三届昆明市“学习强国·学习达人”学习竞赛方案》</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803" w:type="dxa"/>
            <w:tcBorders>
              <w:top w:val="nil"/>
              <w:left w:val="nil"/>
              <w:bottom w:val="single" w:color="auto" w:sz="4" w:space="0"/>
              <w:right w:val="single" w:color="auto" w:sz="4" w:space="0"/>
            </w:tcBorders>
            <w:noWrap w:val="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120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《第三届昆明市“学习强国·学习达人”学习竞赛方案》</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94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1147"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42" w:type="dxa"/>
            <w:vMerge w:val="restart"/>
            <w:tcBorders>
              <w:top w:val="nil"/>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C11.项目产出</w:t>
            </w:r>
          </w:p>
        </w:tc>
        <w:tc>
          <w:tcPr>
            <w:tcW w:w="1069"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C111.知识竞赛参与队伍</w:t>
            </w:r>
          </w:p>
        </w:tc>
        <w:tc>
          <w:tcPr>
            <w:tcW w:w="499"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8</w:t>
            </w:r>
          </w:p>
        </w:tc>
        <w:tc>
          <w:tcPr>
            <w:tcW w:w="575"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8　</w:t>
            </w: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是否符合《第三届昆明市“学习强国·学习达人”学习竞赛方案》要求设定</w:t>
            </w:r>
          </w:p>
        </w:tc>
        <w:tc>
          <w:tcPr>
            <w:tcW w:w="180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C112.比赛场次</w:t>
            </w:r>
          </w:p>
        </w:tc>
        <w:tc>
          <w:tcPr>
            <w:tcW w:w="499" w:type="dxa"/>
            <w:tcBorders>
              <w:top w:val="nil"/>
              <w:left w:val="nil"/>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75"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6　</w:t>
            </w:r>
          </w:p>
        </w:tc>
        <w:tc>
          <w:tcPr>
            <w:tcW w:w="186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是否符合《第三届昆明市“学习强国·学习达人”学习竞赛方案》要求设定</w:t>
            </w:r>
          </w:p>
        </w:tc>
        <w:tc>
          <w:tcPr>
            <w:tcW w:w="180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符合，得满分；基本符合，得80%；不符合，不得分。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C112.比赛覆盖人数</w:t>
            </w:r>
          </w:p>
        </w:tc>
        <w:tc>
          <w:tcPr>
            <w:tcW w:w="499" w:type="dxa"/>
            <w:tcBorders>
              <w:top w:val="nil"/>
              <w:left w:val="nil"/>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575" w:type="dxa"/>
            <w:tcBorders>
              <w:top w:val="nil"/>
              <w:left w:val="nil"/>
              <w:right w:val="single" w:color="auto" w:sz="4" w:space="0"/>
            </w:tcBorders>
            <w:noWrap w:val="0"/>
            <w:vAlign w:val="center"/>
          </w:tcPr>
          <w:p>
            <w:pPr>
              <w:widowControl/>
              <w:rPr>
                <w:rFonts w:hint="eastAsia" w:ascii="宋体" w:hAnsi="宋体" w:cs="宋体"/>
                <w:color w:val="000000"/>
                <w:kern w:val="0"/>
                <w:sz w:val="18"/>
                <w:szCs w:val="18"/>
              </w:rPr>
            </w:pP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是否符合《第三届昆明市“学习强国·学习达人”学习竞赛方案》要求设定</w:t>
            </w:r>
          </w:p>
        </w:tc>
        <w:tc>
          <w:tcPr>
            <w:tcW w:w="180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符合，得满分；基本符合，得80%；不符合，不得分。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C12.项目质量</w:t>
            </w: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C121.入选省赛选手</w:t>
            </w:r>
          </w:p>
        </w:tc>
        <w:tc>
          <w:tcPr>
            <w:tcW w:w="49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是否符合《第三届昆明市“学习强国·学习达人”学习竞赛方案》要求设定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C122.产生出学习强国总积分30强</w:t>
            </w:r>
          </w:p>
        </w:tc>
        <w:tc>
          <w:tcPr>
            <w:tcW w:w="49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是否符合《第三届昆明市“学习强国·学习达人”学习竞赛方案》要求设定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498"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C131.产生出学习强国年度积分30强</w:t>
            </w:r>
          </w:p>
        </w:tc>
        <w:tc>
          <w:tcPr>
            <w:tcW w:w="499" w:type="dxa"/>
            <w:tcBorders>
              <w:top w:val="nil"/>
              <w:left w:val="nil"/>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575"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6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是否符合《第三届昆明市“学习强国·学习达人”学习竞赛方案》要求设定</w:t>
            </w:r>
          </w:p>
        </w:tc>
        <w:tc>
          <w:tcPr>
            <w:tcW w:w="180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27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42" w:type="dxa"/>
            <w:vMerge w:val="restart"/>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C21.项目效益指标</w:t>
            </w: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C211.社会效益指标</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是否符合中共昆明市委宣传部下发的《关于组织举办第三届昆明市“学习强国·学习达人”学习竞赛的通知》</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23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C221.可持续影响效益指标</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是否符合中共昆明市委宣传部下发的《关于组织举办第三届昆明市“学习强国·学习达人”学习竞赛的通知》</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7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575"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98分</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Pr>
        <w:pStyle w:val="72"/>
        <w:rPr>
          <w:rFonts w:hint="eastAsia" w:ascii="楷体_GB2312" w:eastAsia="楷体_GB2312"/>
          <w:sz w:val="32"/>
          <w:szCs w:val="32"/>
        </w:rPr>
      </w:pPr>
    </w:p>
    <w:p>
      <w:pPr>
        <w:rPr>
          <w:rFonts w:hint="eastAsia" w:ascii="楷体_GB2312" w:eastAsia="楷体_GB2312"/>
          <w:sz w:val="32"/>
          <w:szCs w:val="32"/>
        </w:rPr>
      </w:pPr>
    </w:p>
    <w:p>
      <w:pPr>
        <w:rPr>
          <w:rFonts w:hint="eastAsia" w:ascii="楷体_GB2312" w:eastAsia="楷体_GB2312"/>
          <w:sz w:val="32"/>
          <w:szCs w:val="32"/>
        </w:rPr>
      </w:pPr>
    </w:p>
    <w:p>
      <w:pPr>
        <w:rPr>
          <w:rFonts w:hint="eastAsia" w:ascii="楷体_GB2312" w:eastAsia="楷体_GB2312"/>
          <w:sz w:val="32"/>
          <w:szCs w:val="32"/>
        </w:rPr>
      </w:pPr>
    </w:p>
    <w:p>
      <w:pPr>
        <w:rPr>
          <w:rFonts w:hint="eastAsia" w:ascii="楷体_GB2312" w:eastAsia="楷体_GB2312"/>
          <w:sz w:val="32"/>
          <w:szCs w:val="32"/>
        </w:rPr>
      </w:pPr>
    </w:p>
    <w:p>
      <w:pPr>
        <w:rPr>
          <w:rFonts w:hint="eastAsia" w:ascii="楷体_GB2312" w:eastAsia="楷体_GB2312"/>
          <w:sz w:val="32"/>
          <w:szCs w:val="32"/>
        </w:rPr>
      </w:pPr>
    </w:p>
    <w:p>
      <w:pPr>
        <w:rPr>
          <w:rFonts w:hint="eastAsia" w:ascii="楷体_GB2312" w:eastAsia="楷体_GB2312"/>
          <w:sz w:val="32"/>
          <w:szCs w:val="32"/>
        </w:rPr>
      </w:pPr>
    </w:p>
    <w:p>
      <w:pPr>
        <w:rPr>
          <w:rFonts w:hint="eastAsia" w:ascii="楷体_GB2312" w:eastAsia="楷体_GB2312"/>
          <w:sz w:val="32"/>
          <w:szCs w:val="32"/>
        </w:rPr>
      </w:pPr>
    </w:p>
    <w:p>
      <w:pPr>
        <w:rPr>
          <w:rFonts w:hint="eastAsia" w:ascii="楷体_GB2312" w:eastAsia="楷体_GB2312"/>
          <w:sz w:val="32"/>
          <w:szCs w:val="32"/>
        </w:rPr>
      </w:pPr>
    </w:p>
    <w:p>
      <w:pPr>
        <w:rPr>
          <w:rFonts w:hint="eastAsia" w:ascii="楷体_GB2312" w:eastAsia="楷体_GB2312"/>
          <w:sz w:val="32"/>
          <w:szCs w:val="32"/>
        </w:rPr>
      </w:pPr>
    </w:p>
    <w:p>
      <w:pPr>
        <w:rPr>
          <w:rFonts w:hint="eastAsia" w:ascii="楷体_GB2312" w:eastAsia="楷体_GB2312"/>
          <w:sz w:val="32"/>
          <w:szCs w:val="32"/>
        </w:rPr>
      </w:pPr>
    </w:p>
    <w:p>
      <w:pPr>
        <w:rPr>
          <w:rFonts w:ascii="方正小标宋_GBK" w:eastAsia="方正小标宋_GBK"/>
          <w:sz w:val="28"/>
          <w:szCs w:val="28"/>
        </w:rPr>
      </w:pPr>
      <w:r>
        <w:rPr>
          <w:rFonts w:hint="eastAsia" w:ascii="楷体_GB2312" w:eastAsia="楷体_GB2312"/>
          <w:sz w:val="32"/>
          <w:szCs w:val="32"/>
        </w:rPr>
        <w:t>项目5：</w:t>
      </w:r>
    </w:p>
    <w:p>
      <w:pPr>
        <w:widowControl/>
        <w:jc w:val="center"/>
        <w:rPr>
          <w:rFonts w:ascii="方正小标宋_GBK" w:eastAsia="方正小标宋_GBK"/>
          <w:sz w:val="28"/>
          <w:szCs w:val="28"/>
        </w:rPr>
      </w:pPr>
      <w:r>
        <w:rPr>
          <w:rFonts w:hint="eastAsia" w:eastAsia="方正小标宋简体"/>
          <w:bCs/>
          <w:sz w:val="44"/>
          <w:szCs w:val="32"/>
        </w:rPr>
        <w:t>2022年省理论宣讲大赛参赛节目《振兴》排演经费项目支出绩效评价共性指标体系框架</w:t>
      </w:r>
    </w:p>
    <w:tbl>
      <w:tblPr>
        <w:tblStyle w:val="16"/>
        <w:tblpPr w:leftFromText="180" w:rightFromText="180" w:vertAnchor="text" w:horzAnchor="page" w:tblpX="1201" w:tblpY="383"/>
        <w:tblW w:w="0" w:type="auto"/>
        <w:tblInd w:w="0" w:type="dxa"/>
        <w:tblLayout w:type="fixed"/>
        <w:tblCellMar>
          <w:top w:w="0" w:type="dxa"/>
          <w:left w:w="108" w:type="dxa"/>
          <w:bottom w:w="0" w:type="dxa"/>
          <w:right w:w="108" w:type="dxa"/>
        </w:tblCellMar>
      </w:tblPr>
      <w:tblGrid>
        <w:gridCol w:w="846"/>
        <w:gridCol w:w="970"/>
        <w:gridCol w:w="1142"/>
        <w:gridCol w:w="1069"/>
        <w:gridCol w:w="499"/>
        <w:gridCol w:w="575"/>
        <w:gridCol w:w="1863"/>
        <w:gridCol w:w="1803"/>
        <w:gridCol w:w="1645"/>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5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86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8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根据省委宣传部《关于举办“砥砺奋进新征程 喜迎党的二十大——党的创新理论我来讲”理论宣讲大赛决赛活动的通知》</w:t>
            </w:r>
          </w:p>
        </w:tc>
      </w:tr>
      <w:tr>
        <w:tblPrEx>
          <w:tblCellMar>
            <w:top w:w="0" w:type="dxa"/>
            <w:left w:w="108" w:type="dxa"/>
            <w:bottom w:w="0" w:type="dxa"/>
            <w:right w:w="108" w:type="dxa"/>
          </w:tblCellMar>
        </w:tblPrEx>
        <w:trPr>
          <w:trHeight w:val="10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2</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中共昆明市委宣传部《举办“砥砺奋进新征程 喜迎党的二十大——党的创新理论我来讲”昆明市理论宣讲大赛决赛活动》</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《“砥砺奋进新征程 喜迎党的二十大——党的创新理论我来讲”昆明市理论宣讲大赛决赛方案》</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中共昆明市委宣传部《举办“砥砺奋进新征程 喜迎党的二十大——党的创新理论我来讲”昆明市理论宣讲大赛决赛活动》</w:t>
            </w:r>
          </w:p>
        </w:tc>
      </w:tr>
      <w:tr>
        <w:tblPrEx>
          <w:tblCellMar>
            <w:top w:w="0" w:type="dxa"/>
            <w:left w:w="108" w:type="dxa"/>
            <w:bottom w:w="0" w:type="dxa"/>
            <w:right w:w="108" w:type="dxa"/>
          </w:tblCellMar>
        </w:tblPrEx>
        <w:trPr>
          <w:trHeight w:val="9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79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72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《“砥砺奋进新征程 喜迎党的二十大——党的创新理论我来讲”昆明市理论宣讲大赛决赛方案》</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803" w:type="dxa"/>
            <w:tcBorders>
              <w:top w:val="nil"/>
              <w:left w:val="nil"/>
              <w:bottom w:val="single" w:color="auto" w:sz="4" w:space="0"/>
              <w:right w:val="single" w:color="auto" w:sz="4" w:space="0"/>
            </w:tcBorders>
            <w:noWrap w:val="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120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《“砥砺奋进新征程 喜迎党的二十大——党的创新理论我来讲”昆明市理论宣讲大赛决赛方案》</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94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1147"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42" w:type="dxa"/>
            <w:vMerge w:val="restart"/>
            <w:tcBorders>
              <w:top w:val="nil"/>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C11.项目产出</w:t>
            </w:r>
          </w:p>
        </w:tc>
        <w:tc>
          <w:tcPr>
            <w:tcW w:w="1069"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C111.项目指导老师</w:t>
            </w:r>
          </w:p>
        </w:tc>
        <w:tc>
          <w:tcPr>
            <w:tcW w:w="499"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8</w:t>
            </w:r>
          </w:p>
        </w:tc>
        <w:tc>
          <w:tcPr>
            <w:tcW w:w="575"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8　</w:t>
            </w: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是否符合《“砥砺奋进新征程 喜迎党的二十大——党的创新理论我来讲”昆明市理论宣讲大赛决赛方案》要求设定</w:t>
            </w:r>
          </w:p>
        </w:tc>
        <w:tc>
          <w:tcPr>
            <w:tcW w:w="180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C112.排练天数</w:t>
            </w:r>
          </w:p>
        </w:tc>
        <w:tc>
          <w:tcPr>
            <w:tcW w:w="499" w:type="dxa"/>
            <w:tcBorders>
              <w:top w:val="nil"/>
              <w:left w:val="nil"/>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75"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8　</w:t>
            </w:r>
          </w:p>
        </w:tc>
        <w:tc>
          <w:tcPr>
            <w:tcW w:w="186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是否符合《“砥砺奋进新征程 喜迎党的二十大——党的创新理论我来讲”昆明市理论宣讲大赛决赛方案》要求设定</w:t>
            </w:r>
          </w:p>
        </w:tc>
        <w:tc>
          <w:tcPr>
            <w:tcW w:w="180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符合，得满分；基本符合，得80%；不符合，不得分。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C112.录制节目视频</w:t>
            </w:r>
          </w:p>
        </w:tc>
        <w:tc>
          <w:tcPr>
            <w:tcW w:w="499"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5" w:type="dxa"/>
            <w:tcBorders>
              <w:top w:val="nil"/>
              <w:left w:val="nil"/>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是否符合《“砥砺奋进新征程 喜迎党的二十大——党的创新理论我来讲”昆明市理论宣讲大赛决赛方案》要求设定</w:t>
            </w:r>
          </w:p>
        </w:tc>
        <w:tc>
          <w:tcPr>
            <w:tcW w:w="180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符合，得满分；基本符合，得80%；不符合，不得分。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C12.项目质量</w:t>
            </w: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C121.背景视频及音效设计制作</w:t>
            </w:r>
          </w:p>
        </w:tc>
        <w:tc>
          <w:tcPr>
            <w:tcW w:w="49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是否符合《“砥砺奋进新征程 喜迎党的二十大——党的创新理论我来讲”昆明市理论宣讲大赛决赛方案》要求设定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558"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C122.剧本修改</w:t>
            </w:r>
          </w:p>
        </w:tc>
        <w:tc>
          <w:tcPr>
            <w:tcW w:w="499" w:type="dxa"/>
            <w:tcBorders>
              <w:top w:val="nil"/>
              <w:left w:val="nil"/>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575"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86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是否符合《“砥砺奋进新征程 喜迎党的二十大——党的创新理论我来讲”昆明市理论宣讲大赛决赛方案》要求设定</w:t>
            </w:r>
          </w:p>
        </w:tc>
        <w:tc>
          <w:tcPr>
            <w:tcW w:w="180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27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42" w:type="dxa"/>
            <w:vMerge w:val="restart"/>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C21.项目效益指标</w:t>
            </w: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C211.社会效益指标</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是否符合昆明市委委宣传部《关于举办“砥砺奋进新征程 喜迎党的二十大——党的创新理论我来讲”理论宣讲大赛决赛活动的通知》</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23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C221.可持续影响效益指标</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是否符合昆明市委委宣传部《关于举办“砥砺奋进新征程 喜迎党的二十大——党的创新理论我来讲”理论宣讲大赛决赛活动的通知》</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7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575"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98分</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
      <w:pPr>
        <w:rPr>
          <w:rFonts w:ascii="方正小标宋_GBK" w:eastAsia="方正小标宋_GBK"/>
          <w:sz w:val="28"/>
          <w:szCs w:val="28"/>
        </w:rPr>
      </w:pPr>
      <w:r>
        <w:rPr>
          <w:rFonts w:hint="eastAsia" w:ascii="楷体_GB2312" w:eastAsia="楷体_GB2312"/>
          <w:sz w:val="32"/>
          <w:szCs w:val="32"/>
        </w:rPr>
        <w:br w:type="page"/>
      </w:r>
      <w:r>
        <w:rPr>
          <w:rFonts w:hint="eastAsia" w:ascii="楷体_GB2312" w:eastAsia="楷体_GB2312"/>
          <w:sz w:val="32"/>
          <w:szCs w:val="32"/>
        </w:rPr>
        <w:t>项目6：</w:t>
      </w:r>
    </w:p>
    <w:p>
      <w:pPr>
        <w:widowControl/>
        <w:jc w:val="center"/>
        <w:rPr>
          <w:rFonts w:hint="eastAsia" w:eastAsia="方正小标宋简体"/>
          <w:bCs/>
          <w:sz w:val="44"/>
          <w:szCs w:val="32"/>
        </w:rPr>
      </w:pPr>
      <w:r>
        <w:rPr>
          <w:rFonts w:hint="eastAsia" w:eastAsia="方正小标宋简体"/>
          <w:bCs/>
          <w:sz w:val="44"/>
          <w:szCs w:val="32"/>
        </w:rPr>
        <w:t>第三届“春城飞花令”活动</w:t>
      </w:r>
    </w:p>
    <w:p>
      <w:pPr>
        <w:widowControl/>
        <w:jc w:val="center"/>
        <w:rPr>
          <w:rFonts w:ascii="方正小标宋_GBK" w:eastAsia="方正小标宋_GBK"/>
          <w:sz w:val="28"/>
          <w:szCs w:val="28"/>
        </w:rPr>
      </w:pPr>
      <w:r>
        <w:rPr>
          <w:rFonts w:hint="eastAsia" w:eastAsia="方正小标宋简体"/>
          <w:bCs/>
          <w:sz w:val="44"/>
          <w:szCs w:val="32"/>
        </w:rPr>
        <w:t>项目支出绩效评价共性指标体系框架</w:t>
      </w:r>
    </w:p>
    <w:tbl>
      <w:tblPr>
        <w:tblStyle w:val="16"/>
        <w:tblpPr w:leftFromText="180" w:rightFromText="180" w:vertAnchor="text" w:horzAnchor="page" w:tblpX="1201" w:tblpY="383"/>
        <w:tblW w:w="0" w:type="auto"/>
        <w:tblInd w:w="0" w:type="dxa"/>
        <w:tblLayout w:type="fixed"/>
        <w:tblCellMar>
          <w:top w:w="0" w:type="dxa"/>
          <w:left w:w="108" w:type="dxa"/>
          <w:bottom w:w="0" w:type="dxa"/>
          <w:right w:w="108" w:type="dxa"/>
        </w:tblCellMar>
      </w:tblPr>
      <w:tblGrid>
        <w:gridCol w:w="846"/>
        <w:gridCol w:w="970"/>
        <w:gridCol w:w="1142"/>
        <w:gridCol w:w="1069"/>
        <w:gridCol w:w="499"/>
        <w:gridCol w:w="575"/>
        <w:gridCol w:w="1863"/>
        <w:gridCol w:w="1803"/>
        <w:gridCol w:w="1645"/>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5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86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8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中共昆明市委宣传部下发的《关于2022年昆明市文艺精品创作扶持项目公示》</w:t>
            </w:r>
          </w:p>
        </w:tc>
      </w:tr>
      <w:tr>
        <w:tblPrEx>
          <w:tblCellMar>
            <w:top w:w="0" w:type="dxa"/>
            <w:left w:w="108" w:type="dxa"/>
            <w:bottom w:w="0" w:type="dxa"/>
            <w:right w:w="108" w:type="dxa"/>
          </w:tblCellMar>
        </w:tblPrEx>
        <w:trPr>
          <w:trHeight w:val="10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2</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中共昆明市委宣传部下发的《关于2022年昆明市文艺精品创作扶持项目公示》</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《第三届“春城飞花令”活动方案》</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中共昆明市委宣传部下发的《关于2022年昆明市文艺精品创作扶持项目公示》</w:t>
            </w:r>
          </w:p>
        </w:tc>
      </w:tr>
      <w:tr>
        <w:tblPrEx>
          <w:tblCellMar>
            <w:top w:w="0" w:type="dxa"/>
            <w:left w:w="108" w:type="dxa"/>
            <w:bottom w:w="0" w:type="dxa"/>
            <w:right w:w="108" w:type="dxa"/>
          </w:tblCellMar>
        </w:tblPrEx>
        <w:trPr>
          <w:trHeight w:val="9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79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72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《第三届“春城飞花令”活动方案》</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803" w:type="dxa"/>
            <w:tcBorders>
              <w:top w:val="nil"/>
              <w:left w:val="nil"/>
              <w:bottom w:val="single" w:color="auto" w:sz="4" w:space="0"/>
              <w:right w:val="single" w:color="auto" w:sz="4" w:space="0"/>
            </w:tcBorders>
            <w:noWrap w:val="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120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《第三届“春城飞花令”活动方案》</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94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1147"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42" w:type="dxa"/>
            <w:vMerge w:val="restart"/>
            <w:tcBorders>
              <w:top w:val="nil"/>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C11.项目产出</w:t>
            </w:r>
          </w:p>
        </w:tc>
        <w:tc>
          <w:tcPr>
            <w:tcW w:w="1069"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C111.活动参与人次</w:t>
            </w:r>
          </w:p>
        </w:tc>
        <w:tc>
          <w:tcPr>
            <w:tcW w:w="499"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3</w:t>
            </w: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是否符合《第三届“春城飞花令”活动方案》要求设定</w:t>
            </w:r>
          </w:p>
        </w:tc>
        <w:tc>
          <w:tcPr>
            <w:tcW w:w="180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C112.投稿数量</w:t>
            </w:r>
          </w:p>
        </w:tc>
        <w:tc>
          <w:tcPr>
            <w:tcW w:w="499" w:type="dxa"/>
            <w:tcBorders>
              <w:top w:val="nil"/>
              <w:left w:val="nil"/>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3　</w:t>
            </w:r>
          </w:p>
        </w:tc>
        <w:tc>
          <w:tcPr>
            <w:tcW w:w="186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是否符合《第三届“春城飞花令”活动方案》要求设定</w:t>
            </w:r>
          </w:p>
        </w:tc>
        <w:tc>
          <w:tcPr>
            <w:tcW w:w="180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符合，得满分；基本符合，得80%；不符合，不得分。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C113.奖金发放</w:t>
            </w:r>
          </w:p>
        </w:tc>
        <w:tc>
          <w:tcPr>
            <w:tcW w:w="499"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是否符合《第三届“春城飞花令”活动方案》要求设定</w:t>
            </w:r>
          </w:p>
        </w:tc>
        <w:tc>
          <w:tcPr>
            <w:tcW w:w="180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C114.奖项设置</w:t>
            </w:r>
          </w:p>
        </w:tc>
        <w:tc>
          <w:tcPr>
            <w:tcW w:w="499"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是否符合《第三届“春城飞花令”活动方案》要求设定</w:t>
            </w:r>
          </w:p>
        </w:tc>
        <w:tc>
          <w:tcPr>
            <w:tcW w:w="180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C115.制作电子画册</w:t>
            </w:r>
          </w:p>
        </w:tc>
        <w:tc>
          <w:tcPr>
            <w:tcW w:w="499"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是否符合《第三届“春城飞花令”活动方案》要求设定</w:t>
            </w:r>
          </w:p>
        </w:tc>
        <w:tc>
          <w:tcPr>
            <w:tcW w:w="180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C116.原创活动短视频宣发推广</w:t>
            </w:r>
          </w:p>
        </w:tc>
        <w:tc>
          <w:tcPr>
            <w:tcW w:w="499"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是否符合《第三届“春城飞花令”活动方案》要求设定</w:t>
            </w:r>
          </w:p>
        </w:tc>
        <w:tc>
          <w:tcPr>
            <w:tcW w:w="180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符合，得满分；基本符合，得80%；不符合，不得分。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C12.项目质量</w:t>
            </w: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C121.活动短视频传播影响力</w:t>
            </w:r>
          </w:p>
        </w:tc>
        <w:tc>
          <w:tcPr>
            <w:tcW w:w="49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是否符合《第三届“春城飞花令”活动方案》要求设定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C122.奖项评审完成率</w:t>
            </w:r>
          </w:p>
        </w:tc>
        <w:tc>
          <w:tcPr>
            <w:tcW w:w="49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是否符合《第三届“春城飞花令”活动方案》要求设定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498"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C123.颁奖礼完成率</w:t>
            </w:r>
          </w:p>
        </w:tc>
        <w:tc>
          <w:tcPr>
            <w:tcW w:w="499"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是否符合《第三届“春城飞花令”活动方案》要求设定</w:t>
            </w:r>
          </w:p>
        </w:tc>
        <w:tc>
          <w:tcPr>
            <w:tcW w:w="180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498"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C124.线下活动完成率</w:t>
            </w:r>
          </w:p>
        </w:tc>
        <w:tc>
          <w:tcPr>
            <w:tcW w:w="499"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86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是否符合《第三届“春城飞花令”活动方案》要求设定</w:t>
            </w:r>
          </w:p>
        </w:tc>
        <w:tc>
          <w:tcPr>
            <w:tcW w:w="1803"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498"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C125.小程序平台征集、宣发使用完成率</w:t>
            </w:r>
          </w:p>
        </w:tc>
        <w:tc>
          <w:tcPr>
            <w:tcW w:w="499" w:type="dxa"/>
            <w:tcBorders>
              <w:top w:val="nil"/>
              <w:left w:val="nil"/>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86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是否符合《第三届“春城飞花令”活动方案》要求设定</w:t>
            </w:r>
          </w:p>
        </w:tc>
        <w:tc>
          <w:tcPr>
            <w:tcW w:w="1803" w:type="dxa"/>
            <w:tcBorders>
              <w:top w:val="nil"/>
              <w:left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27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42" w:type="dxa"/>
            <w:vMerge w:val="restart"/>
            <w:tcBorders>
              <w:top w:val="nil"/>
              <w:left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C21.项目效益指标</w:t>
            </w: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C211.社会效益指标</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是否符合中共昆明市委宣传部下发的《关于2022年昆明市文艺精品创作扶持项目公示》</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23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C221.可持续影响效益指标</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是否符合中共昆明市委宣传部下发的《关于组织举办第三届昆明市“学习强国·学习达人”学习竞赛的通知》</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7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575"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98分</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Pr>
        <w:spacing w:line="600" w:lineRule="exact"/>
        <w:rPr>
          <w:rFonts w:hint="eastAsia" w:ascii="楷体_GB2312" w:eastAsia="楷体_GB2312"/>
          <w:sz w:val="32"/>
          <w:szCs w:val="32"/>
        </w:rPr>
      </w:pPr>
    </w:p>
    <w:p>
      <w:pPr>
        <w:spacing w:line="600" w:lineRule="exact"/>
        <w:rPr>
          <w:rFonts w:hint="eastAsia" w:ascii="楷体_GB2312" w:eastAsia="楷体_GB2312"/>
          <w:sz w:val="32"/>
          <w:szCs w:val="32"/>
        </w:rPr>
      </w:pPr>
    </w:p>
    <w:p>
      <w:pPr>
        <w:spacing w:line="600" w:lineRule="exact"/>
        <w:rPr>
          <w:rFonts w:hint="eastAsia" w:ascii="楷体_GB2312" w:eastAsia="楷体_GB2312"/>
          <w:sz w:val="32"/>
          <w:szCs w:val="32"/>
        </w:rPr>
      </w:pPr>
    </w:p>
    <w:p>
      <w:pPr>
        <w:spacing w:line="600" w:lineRule="exact"/>
        <w:rPr>
          <w:rFonts w:hint="eastAsia" w:ascii="楷体_GB2312" w:eastAsia="楷体_GB2312"/>
          <w:sz w:val="32"/>
          <w:szCs w:val="32"/>
        </w:rPr>
      </w:pPr>
    </w:p>
    <w:p>
      <w:pPr>
        <w:spacing w:line="600" w:lineRule="exact"/>
        <w:rPr>
          <w:rFonts w:hint="eastAsia" w:ascii="楷体_GB2312" w:eastAsia="楷体_GB2312"/>
          <w:sz w:val="32"/>
          <w:szCs w:val="32"/>
        </w:rPr>
      </w:pPr>
    </w:p>
    <w:p>
      <w:pPr>
        <w:spacing w:line="600" w:lineRule="exact"/>
        <w:rPr>
          <w:rFonts w:hint="eastAsia" w:ascii="楷体_GB2312" w:eastAsia="楷体_GB2312"/>
          <w:sz w:val="32"/>
          <w:szCs w:val="32"/>
        </w:rPr>
      </w:pPr>
      <w:r>
        <w:rPr>
          <w:rFonts w:hint="eastAsia" w:ascii="楷体_GB2312" w:eastAsia="楷体_GB2312"/>
          <w:sz w:val="32"/>
          <w:szCs w:val="32"/>
        </w:rPr>
        <w:t>项目七：</w:t>
      </w:r>
    </w:p>
    <w:p>
      <w:pPr>
        <w:widowControl/>
        <w:jc w:val="center"/>
        <w:rPr>
          <w:rFonts w:hint="eastAsia" w:ascii="方正小标宋_GBK" w:eastAsia="方正小标宋_GBK"/>
          <w:sz w:val="28"/>
          <w:szCs w:val="28"/>
        </w:rPr>
      </w:pPr>
      <w:r>
        <w:rPr>
          <w:rFonts w:hint="eastAsia" w:ascii="方正小标宋_GBK" w:eastAsia="方正小标宋_GBK"/>
          <w:sz w:val="28"/>
          <w:szCs w:val="28"/>
        </w:rPr>
        <w:t>《2021媒体看昆明》书籍编辑及印刷</w:t>
      </w:r>
    </w:p>
    <w:p>
      <w:pPr>
        <w:widowControl/>
        <w:jc w:val="center"/>
        <w:rPr>
          <w:rFonts w:ascii="方正小标宋_GBK" w:eastAsia="方正小标宋_GBK"/>
          <w:sz w:val="28"/>
          <w:szCs w:val="28"/>
        </w:rPr>
      </w:pPr>
      <w:r>
        <w:rPr>
          <w:rFonts w:hint="eastAsia" w:ascii="方正小标宋_GBK" w:eastAsia="方正小标宋_GBK"/>
          <w:sz w:val="28"/>
          <w:szCs w:val="28"/>
        </w:rPr>
        <w:t>（党务政务信息公开新闻发布专项经费）项目支出绩效评价</w:t>
      </w:r>
    </w:p>
    <w:tbl>
      <w:tblPr>
        <w:tblStyle w:val="16"/>
        <w:tblpPr w:leftFromText="180" w:rightFromText="180" w:vertAnchor="text" w:horzAnchor="page" w:tblpXSpec="center" w:tblpY="383"/>
        <w:tblW w:w="0" w:type="auto"/>
        <w:jc w:val="center"/>
        <w:tblLayout w:type="fixed"/>
        <w:tblCellMar>
          <w:top w:w="0" w:type="dxa"/>
          <w:left w:w="108" w:type="dxa"/>
          <w:bottom w:w="0" w:type="dxa"/>
          <w:right w:w="108" w:type="dxa"/>
        </w:tblCellMar>
      </w:tblPr>
      <w:tblGrid>
        <w:gridCol w:w="891"/>
        <w:gridCol w:w="968"/>
        <w:gridCol w:w="1136"/>
        <w:gridCol w:w="1381"/>
        <w:gridCol w:w="615"/>
        <w:gridCol w:w="670"/>
        <w:gridCol w:w="1583"/>
        <w:gridCol w:w="1959"/>
        <w:gridCol w:w="1209"/>
      </w:tblGrid>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jc w:val="center"/>
        </w:trPr>
        <w:tc>
          <w:tcPr>
            <w:tcW w:w="8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项目决策（20%）</w:t>
            </w:r>
          </w:p>
        </w:tc>
        <w:tc>
          <w:tcPr>
            <w:tcW w:w="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项目立项（8%）</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部门中长期规划目标</w:t>
            </w:r>
          </w:p>
        </w:tc>
      </w:tr>
      <w:tr>
        <w:tblPrEx>
          <w:tblCellMar>
            <w:top w:w="0" w:type="dxa"/>
            <w:left w:w="108" w:type="dxa"/>
            <w:bottom w:w="0" w:type="dxa"/>
            <w:right w:w="108" w:type="dxa"/>
          </w:tblCellMar>
        </w:tblPrEx>
        <w:trPr>
          <w:trHeight w:val="105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市政府相关规划、决策、批复</w:t>
            </w:r>
          </w:p>
        </w:tc>
      </w:tr>
      <w:tr>
        <w:tblPrEx>
          <w:tblCellMar>
            <w:top w:w="0" w:type="dxa"/>
            <w:left w:w="108" w:type="dxa"/>
            <w:bottom w:w="0" w:type="dxa"/>
            <w:right w:w="108" w:type="dxa"/>
          </w:tblCellMar>
        </w:tblPrEx>
        <w:trPr>
          <w:trHeight w:val="54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部门职责文件</w:t>
            </w:r>
          </w:p>
        </w:tc>
      </w:tr>
      <w:tr>
        <w:tblPrEx>
          <w:tblCellMar>
            <w:top w:w="0" w:type="dxa"/>
            <w:left w:w="108" w:type="dxa"/>
            <w:bottom w:w="0" w:type="dxa"/>
            <w:right w:w="108" w:type="dxa"/>
          </w:tblCellMar>
        </w:tblPrEx>
        <w:trPr>
          <w:trHeight w:val="54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调研报告</w:t>
            </w:r>
          </w:p>
        </w:tc>
      </w:tr>
      <w:tr>
        <w:tblPrEx>
          <w:tblCellMar>
            <w:top w:w="0" w:type="dxa"/>
            <w:left w:w="108" w:type="dxa"/>
            <w:bottom w:w="0" w:type="dxa"/>
            <w:right w:w="108" w:type="dxa"/>
          </w:tblCellMar>
        </w:tblPrEx>
        <w:trPr>
          <w:trHeight w:val="54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立项申请、批复文件</w:t>
            </w:r>
          </w:p>
        </w:tc>
      </w:tr>
      <w:tr>
        <w:tblPrEx>
          <w:tblCellMar>
            <w:top w:w="0" w:type="dxa"/>
            <w:left w:w="108" w:type="dxa"/>
            <w:bottom w:w="0" w:type="dxa"/>
            <w:right w:w="108" w:type="dxa"/>
          </w:tblCellMar>
        </w:tblPrEx>
        <w:trPr>
          <w:trHeight w:val="91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项目目标（12%）</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jc w:val="center"/>
        </w:trPr>
        <w:tc>
          <w:tcPr>
            <w:tcW w:w="8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项目管理（20%）</w:t>
            </w:r>
          </w:p>
        </w:tc>
        <w:tc>
          <w:tcPr>
            <w:tcW w:w="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投入管理（4%）</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r>
      <w:tr>
        <w:tblPrEx>
          <w:tblCellMar>
            <w:top w:w="0" w:type="dxa"/>
            <w:left w:w="108" w:type="dxa"/>
            <w:bottom w:w="0" w:type="dxa"/>
            <w:right w:w="108" w:type="dxa"/>
          </w:tblCellMar>
        </w:tblPrEx>
        <w:trPr>
          <w:trHeight w:val="81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预算调整文件</w:t>
            </w:r>
          </w:p>
        </w:tc>
      </w:tr>
      <w:tr>
        <w:tblPrEx>
          <w:tblCellMar>
            <w:top w:w="0" w:type="dxa"/>
            <w:left w:w="108" w:type="dxa"/>
            <w:bottom w:w="0" w:type="dxa"/>
            <w:right w:w="108" w:type="dxa"/>
          </w:tblCellMar>
        </w:tblPrEx>
        <w:trPr>
          <w:trHeight w:val="123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财务管理（6%）</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95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tblPrEx>
          <w:tblCellMar>
            <w:top w:w="0" w:type="dxa"/>
            <w:left w:w="108" w:type="dxa"/>
            <w:bottom w:w="0" w:type="dxa"/>
            <w:right w:w="108" w:type="dxa"/>
          </w:tblCellMar>
        </w:tblPrEx>
        <w:trPr>
          <w:trHeight w:val="75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tblPrEx>
          <w:tblCellMar>
            <w:top w:w="0" w:type="dxa"/>
            <w:left w:w="108" w:type="dxa"/>
            <w:bottom w:w="0" w:type="dxa"/>
            <w:right w:w="108" w:type="dxa"/>
          </w:tblCellMar>
        </w:tblPrEx>
        <w:trPr>
          <w:trHeight w:val="75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项目实施（10%）</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r>
      <w:tr>
        <w:tblPrEx>
          <w:tblCellMar>
            <w:top w:w="0" w:type="dxa"/>
            <w:left w:w="108" w:type="dxa"/>
            <w:bottom w:w="0" w:type="dxa"/>
            <w:right w:w="108" w:type="dxa"/>
          </w:tblCellMar>
        </w:tblPrEx>
        <w:trPr>
          <w:trHeight w:val="88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jc w:val="center"/>
        </w:trPr>
        <w:tc>
          <w:tcPr>
            <w:tcW w:w="89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61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83"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959"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09"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r>
      <w:tr>
        <w:tblPrEx>
          <w:tblCellMar>
            <w:top w:w="0" w:type="dxa"/>
            <w:left w:w="108" w:type="dxa"/>
            <w:bottom w:w="0" w:type="dxa"/>
            <w:right w:w="108" w:type="dxa"/>
          </w:tblCellMar>
        </w:tblPrEx>
        <w:trPr>
          <w:trHeight w:val="885"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780"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2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381"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540" w:hRule="atLeast"/>
          <w:jc w:val="center"/>
        </w:trPr>
        <w:tc>
          <w:tcPr>
            <w:tcW w:w="89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1200" w:hRule="atLeast"/>
          <w:jc w:val="center"/>
        </w:trPr>
        <w:tc>
          <w:tcPr>
            <w:tcW w:w="8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项目绩效（60%）</w:t>
            </w:r>
          </w:p>
        </w:tc>
        <w:tc>
          <w:tcPr>
            <w:tcW w:w="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项目产出（30%）</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收集整理中央级主要媒体，即人民日报（人民网）、新华社（《新华每日电讯》、新华网）、光明日报、经济日报、中央广播电视总台（中央人民广播电台、中央电视台）、中国日报（网）、中国青年报、农民日报、法制日报、中新社（《中国新闻周刊》、中新网）、工人日报、人民日报海外版等中央级主流媒体稿件；</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2.收集整理省级主要媒体，即云南日报、云南广播电视台（云南卫视、云南都市频道、新闻广播频道105.8，交通之声91.8）、春城晚报、云南信息报、云南经济日报、云南法制报、云南政协报等省内主流媒体稿件；</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3.收集整理香港文汇大公报、香港商报等港澳驻昆媒体稿件。</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82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根据事实方案，书籍页码300页，印量350册</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6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项目产出（30%）</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质量指标</w:t>
            </w:r>
            <w:r>
              <w:rPr>
                <w:rFonts w:hint="eastAsia" w:ascii="宋体" w:hAnsi="宋体" w:cs="宋体"/>
                <w:b/>
                <w:bCs/>
                <w:color w:val="000000"/>
                <w:kern w:val="0"/>
                <w:sz w:val="18"/>
                <w:szCs w:val="18"/>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按照项目实施方案要求对书籍进行资料收集整理、设计编辑和排版印刷</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hint="eastAsia" w:ascii="宋体" w:hAnsi="宋体" w:cs="宋体"/>
                <w:color w:val="000000"/>
                <w:kern w:val="0"/>
                <w:sz w:val="18"/>
                <w:szCs w:val="18"/>
              </w:rPr>
              <w:t>10</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hint="eastAsia" w:ascii="宋体" w:hAnsi="宋体" w:cs="宋体"/>
                <w:color w:val="000000"/>
                <w:kern w:val="0"/>
                <w:sz w:val="18"/>
                <w:szCs w:val="18"/>
              </w:rPr>
              <w:t>考察与项目相关的合同是否有效执行。</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hint="eastAsia" w:ascii="宋体" w:hAnsi="宋体" w:cs="宋体"/>
                <w:color w:val="000000"/>
                <w:kern w:val="0"/>
                <w:sz w:val="18"/>
                <w:szCs w:val="18"/>
              </w:rPr>
              <w:t>符合相关要求，得满分；一项不符合，不得分。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效益指标</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社会效益指标</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通过该书加大昆明对外宣传力度，提升昆明城市品牌的知名度和影响力</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考察与项目相关的合同是否有效执行。</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符合相关要求，得满分；一项不符合，不得分。</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《媒体看昆明》已连续编印多年，致力于整体连贯性，持续提升昆明的对外宣传，形成较好的正面影响力</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9</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符合相关要求，得满分；一项不符合，扣相应分数。</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满意度</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指标（10%）</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服务对象及大众满意度较高</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9</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考察与项目相关的合同是否有效执行。</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符合相关要求，得满分；一项不符合，扣相应分数。</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98</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r>
    </w:tbl>
    <w:p>
      <w:pPr>
        <w:pStyle w:val="6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15"/>
        <w:jc w:val="left"/>
        <w:rPr>
          <w:rFonts w:hint="eastAsia" w:ascii="楷体_GB2312" w:eastAsia="楷体_GB2312"/>
          <w:b w:val="0"/>
          <w:bCs w:val="0"/>
        </w:rPr>
      </w:pPr>
    </w:p>
    <w:p>
      <w:pPr>
        <w:pStyle w:val="15"/>
        <w:jc w:val="left"/>
        <w:rPr>
          <w:rFonts w:hint="eastAsia" w:ascii="楷体_GB2312" w:eastAsia="楷体_GB2312"/>
          <w:b w:val="0"/>
          <w:bCs w:val="0"/>
        </w:rPr>
      </w:pPr>
    </w:p>
    <w:p>
      <w:pPr>
        <w:pStyle w:val="15"/>
        <w:jc w:val="left"/>
        <w:rPr>
          <w:rFonts w:hint="eastAsia" w:ascii="楷体_GB2312" w:eastAsia="楷体_GB2312"/>
          <w:b w:val="0"/>
          <w:bCs w:val="0"/>
        </w:rPr>
      </w:pPr>
    </w:p>
    <w:p>
      <w:pPr>
        <w:pStyle w:val="15"/>
        <w:jc w:val="left"/>
        <w:rPr>
          <w:rFonts w:hint="eastAsia" w:ascii="楷体_GB2312" w:eastAsia="楷体_GB2312"/>
          <w:b w:val="0"/>
          <w:bCs w:val="0"/>
        </w:rPr>
      </w:pPr>
    </w:p>
    <w:p>
      <w:pPr>
        <w:pStyle w:val="15"/>
        <w:jc w:val="left"/>
        <w:rPr>
          <w:rFonts w:hint="eastAsia" w:ascii="楷体_GB2312" w:eastAsia="楷体_GB2312"/>
          <w:b w:val="0"/>
          <w:bCs w:val="0"/>
        </w:rPr>
      </w:pPr>
      <w:r>
        <w:rPr>
          <w:rFonts w:hint="eastAsia" w:ascii="楷体_GB2312" w:eastAsia="楷体_GB2312"/>
          <w:b w:val="0"/>
          <w:bCs w:val="0"/>
        </w:rPr>
        <w:t>项目</w:t>
      </w:r>
      <w:r>
        <w:rPr>
          <w:rFonts w:hint="eastAsia" w:ascii="楷体_GB2312" w:eastAsia="楷体_GB2312"/>
          <w:b w:val="0"/>
          <w:bCs w:val="0"/>
          <w:lang w:eastAsia="zh-Hans"/>
        </w:rPr>
        <w:t>八</w:t>
      </w:r>
      <w:r>
        <w:rPr>
          <w:rFonts w:hint="eastAsia" w:ascii="楷体_GB2312" w:eastAsia="楷体_GB2312"/>
          <w:b w:val="0"/>
          <w:bCs w:val="0"/>
        </w:rPr>
        <w:t>：</w:t>
      </w:r>
    </w:p>
    <w:p>
      <w:pPr>
        <w:spacing w:line="660" w:lineRule="exact"/>
        <w:jc w:val="both"/>
        <w:rPr>
          <w:rFonts w:hint="eastAsia"/>
        </w:rPr>
      </w:pPr>
      <w:r>
        <w:rPr>
          <w:rFonts w:hint="eastAsia" w:ascii="方正小标宋简体" w:hAnsi="方正小标宋简体" w:eastAsia="方正小标宋简体" w:cs="方正小标宋简体"/>
          <w:sz w:val="44"/>
          <w:szCs w:val="44"/>
        </w:rPr>
        <w:t>《演艺昆明》多媒体平台运营建设及特刊发行项目</w:t>
      </w:r>
      <w:r>
        <w:rPr>
          <w:rFonts w:hint="eastAsia" w:eastAsia="方正小标宋简体"/>
          <w:bCs/>
          <w:sz w:val="44"/>
          <w:szCs w:val="32"/>
        </w:rPr>
        <w:t>支出绩效评价共性指标体系框架</w:t>
      </w:r>
    </w:p>
    <w:p>
      <w:pPr>
        <w:pStyle w:val="2"/>
        <w:rPr>
          <w:rFonts w:hint="eastAsia"/>
        </w:rPr>
      </w:pPr>
    </w:p>
    <w:tbl>
      <w:tblPr>
        <w:tblStyle w:val="16"/>
        <w:tblpPr w:leftFromText="180" w:rightFromText="180" w:vertAnchor="text" w:horzAnchor="page" w:tblpXSpec="center" w:tblpY="383"/>
        <w:tblW w:w="0" w:type="auto"/>
        <w:jc w:val="center"/>
        <w:tblLayout w:type="fixed"/>
        <w:tblCellMar>
          <w:top w:w="0" w:type="dxa"/>
          <w:left w:w="108" w:type="dxa"/>
          <w:bottom w:w="0" w:type="dxa"/>
          <w:right w:w="108" w:type="dxa"/>
        </w:tblCellMar>
      </w:tblPr>
      <w:tblGrid>
        <w:gridCol w:w="891"/>
        <w:gridCol w:w="969"/>
        <w:gridCol w:w="1136"/>
        <w:gridCol w:w="1379"/>
        <w:gridCol w:w="615"/>
        <w:gridCol w:w="670"/>
        <w:gridCol w:w="1583"/>
        <w:gridCol w:w="1959"/>
        <w:gridCol w:w="1210"/>
      </w:tblGrid>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jc w:val="center"/>
        </w:trPr>
        <w:tc>
          <w:tcPr>
            <w:tcW w:w="8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项目决策（20%）</w:t>
            </w: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项目立项（8%）</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部门中长期规划目标</w:t>
            </w:r>
          </w:p>
        </w:tc>
      </w:tr>
      <w:tr>
        <w:tblPrEx>
          <w:tblCellMar>
            <w:top w:w="0" w:type="dxa"/>
            <w:left w:w="108" w:type="dxa"/>
            <w:bottom w:w="0" w:type="dxa"/>
            <w:right w:w="108" w:type="dxa"/>
          </w:tblCellMar>
        </w:tblPrEx>
        <w:trPr>
          <w:trHeight w:val="105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市政府相关规划、决策、批复</w:t>
            </w:r>
          </w:p>
        </w:tc>
      </w:tr>
      <w:tr>
        <w:tblPrEx>
          <w:tblCellMar>
            <w:top w:w="0" w:type="dxa"/>
            <w:left w:w="108" w:type="dxa"/>
            <w:bottom w:w="0" w:type="dxa"/>
            <w:right w:w="108" w:type="dxa"/>
          </w:tblCellMar>
        </w:tblPrEx>
        <w:trPr>
          <w:trHeight w:val="54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部门职责文件</w:t>
            </w:r>
          </w:p>
        </w:tc>
      </w:tr>
      <w:tr>
        <w:tblPrEx>
          <w:tblCellMar>
            <w:top w:w="0" w:type="dxa"/>
            <w:left w:w="108" w:type="dxa"/>
            <w:bottom w:w="0" w:type="dxa"/>
            <w:right w:w="108" w:type="dxa"/>
          </w:tblCellMar>
        </w:tblPrEx>
        <w:trPr>
          <w:trHeight w:val="54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调研报告</w:t>
            </w:r>
          </w:p>
        </w:tc>
      </w:tr>
      <w:tr>
        <w:tblPrEx>
          <w:tblCellMar>
            <w:top w:w="0" w:type="dxa"/>
            <w:left w:w="108" w:type="dxa"/>
            <w:bottom w:w="0" w:type="dxa"/>
            <w:right w:w="108" w:type="dxa"/>
          </w:tblCellMar>
        </w:tblPrEx>
        <w:trPr>
          <w:trHeight w:val="54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立项申请、批复文件</w:t>
            </w:r>
          </w:p>
        </w:tc>
      </w:tr>
      <w:tr>
        <w:tblPrEx>
          <w:tblCellMar>
            <w:top w:w="0" w:type="dxa"/>
            <w:left w:w="108" w:type="dxa"/>
            <w:bottom w:w="0" w:type="dxa"/>
            <w:right w:w="108" w:type="dxa"/>
          </w:tblCellMar>
        </w:tblPrEx>
        <w:trPr>
          <w:trHeight w:val="91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项目目标（12%）</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jc w:val="center"/>
        </w:trPr>
        <w:tc>
          <w:tcPr>
            <w:tcW w:w="8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项目管理（20%）</w:t>
            </w: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投入管理（4%）</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r>
      <w:tr>
        <w:tblPrEx>
          <w:tblCellMar>
            <w:top w:w="0" w:type="dxa"/>
            <w:left w:w="108" w:type="dxa"/>
            <w:bottom w:w="0" w:type="dxa"/>
            <w:right w:w="108" w:type="dxa"/>
          </w:tblCellMar>
        </w:tblPrEx>
        <w:trPr>
          <w:trHeight w:val="81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预算调整文件</w:t>
            </w:r>
          </w:p>
        </w:tc>
      </w:tr>
      <w:tr>
        <w:tblPrEx>
          <w:tblCellMar>
            <w:top w:w="0" w:type="dxa"/>
            <w:left w:w="108" w:type="dxa"/>
            <w:bottom w:w="0" w:type="dxa"/>
            <w:right w:w="108" w:type="dxa"/>
          </w:tblCellMar>
        </w:tblPrEx>
        <w:trPr>
          <w:trHeight w:val="123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财务管理（6%）</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95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tblPrEx>
          <w:tblCellMar>
            <w:top w:w="0" w:type="dxa"/>
            <w:left w:w="108" w:type="dxa"/>
            <w:bottom w:w="0" w:type="dxa"/>
            <w:right w:w="108" w:type="dxa"/>
          </w:tblCellMar>
        </w:tblPrEx>
        <w:trPr>
          <w:trHeight w:val="75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tblPrEx>
          <w:tblCellMar>
            <w:top w:w="0" w:type="dxa"/>
            <w:left w:w="108" w:type="dxa"/>
            <w:bottom w:w="0" w:type="dxa"/>
            <w:right w:w="108" w:type="dxa"/>
          </w:tblCellMar>
        </w:tblPrEx>
        <w:trPr>
          <w:trHeight w:val="75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项目实施（10%）</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r>
      <w:tr>
        <w:tblPrEx>
          <w:tblCellMar>
            <w:top w:w="0" w:type="dxa"/>
            <w:left w:w="108" w:type="dxa"/>
            <w:bottom w:w="0" w:type="dxa"/>
            <w:right w:w="108" w:type="dxa"/>
          </w:tblCellMar>
        </w:tblPrEx>
        <w:trPr>
          <w:trHeight w:val="88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jc w:val="center"/>
        </w:trPr>
        <w:tc>
          <w:tcPr>
            <w:tcW w:w="89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61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83"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959"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r>
      <w:tr>
        <w:tblPrEx>
          <w:tblCellMar>
            <w:top w:w="0" w:type="dxa"/>
            <w:left w:w="108" w:type="dxa"/>
            <w:bottom w:w="0" w:type="dxa"/>
            <w:right w:w="108" w:type="dxa"/>
          </w:tblCellMar>
        </w:tblPrEx>
        <w:trPr>
          <w:trHeight w:val="885"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780"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21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37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540" w:hRule="atLeast"/>
          <w:jc w:val="center"/>
        </w:trPr>
        <w:tc>
          <w:tcPr>
            <w:tcW w:w="89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1200" w:hRule="atLeast"/>
          <w:jc w:val="center"/>
        </w:trPr>
        <w:tc>
          <w:tcPr>
            <w:tcW w:w="89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项目绩效（60%）</w:t>
            </w: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项目产出（30%）</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《演艺昆明》特刊采编、制作及发行</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演艺昆明</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特刊完成发行</w:t>
            </w:r>
            <w:r>
              <w:rPr>
                <w:rFonts w:ascii="宋体" w:hAnsi="宋体" w:cs="宋体"/>
                <w:color w:val="000000"/>
                <w:kern w:val="0"/>
                <w:sz w:val="18"/>
                <w:szCs w:val="18"/>
                <w:lang w:eastAsia="zh-Hans"/>
              </w:rPr>
              <w:t>13-14</w:t>
            </w:r>
            <w:r>
              <w:rPr>
                <w:rFonts w:hint="eastAsia" w:ascii="宋体" w:hAnsi="宋体" w:cs="宋体"/>
                <w:color w:val="000000"/>
                <w:kern w:val="0"/>
                <w:sz w:val="18"/>
                <w:szCs w:val="18"/>
                <w:lang w:eastAsia="zh-Hans"/>
              </w:rPr>
              <w:t>期</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1200" w:hRule="atLeast"/>
          <w:jc w:val="center"/>
        </w:trPr>
        <w:tc>
          <w:tcPr>
            <w:tcW w:w="891"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969"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演艺昆明宣传活动数量</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至少完成</w:t>
            </w:r>
            <w:r>
              <w:rPr>
                <w:rFonts w:ascii="宋体" w:hAnsi="宋体" w:cs="宋体"/>
                <w:color w:val="000000"/>
                <w:kern w:val="0"/>
                <w:sz w:val="18"/>
                <w:szCs w:val="18"/>
                <w:lang w:eastAsia="zh-Hans"/>
              </w:rPr>
              <w:t>10</w:t>
            </w:r>
            <w:r>
              <w:rPr>
                <w:rFonts w:hint="eastAsia" w:ascii="宋体" w:hAnsi="宋体" w:cs="宋体"/>
                <w:color w:val="000000"/>
                <w:kern w:val="0"/>
                <w:sz w:val="18"/>
                <w:szCs w:val="18"/>
                <w:lang w:eastAsia="zh-Hans"/>
              </w:rPr>
              <w:t>个宣传类大活动</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eastAsia="zh-Hans"/>
              </w:rPr>
            </w:pPr>
            <w:r>
              <w:rPr>
                <w:rFonts w:hint="eastAsia" w:ascii="宋体" w:hAnsi="宋体" w:cs="宋体"/>
                <w:color w:val="000000"/>
                <w:kern w:val="0"/>
                <w:sz w:val="18"/>
                <w:szCs w:val="18"/>
                <w:lang w:eastAsia="zh-Hans"/>
              </w:rPr>
              <w:t>现场调查</w:t>
            </w:r>
          </w:p>
        </w:tc>
      </w:tr>
      <w:tr>
        <w:tblPrEx>
          <w:tblCellMar>
            <w:top w:w="0" w:type="dxa"/>
            <w:left w:w="108" w:type="dxa"/>
            <w:bottom w:w="0" w:type="dxa"/>
            <w:right w:w="108" w:type="dxa"/>
          </w:tblCellMar>
        </w:tblPrEx>
        <w:trPr>
          <w:trHeight w:val="825" w:hRule="atLeast"/>
          <w:jc w:val="center"/>
        </w:trPr>
        <w:tc>
          <w:tcPr>
            <w:tcW w:w="891"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《演艺昆明》多媒体平台建设运营</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建设运营至少</w:t>
            </w:r>
            <w:r>
              <w:rPr>
                <w:rFonts w:ascii="宋体" w:hAnsi="宋体" w:cs="宋体"/>
                <w:color w:val="000000"/>
                <w:kern w:val="0"/>
                <w:sz w:val="18"/>
                <w:szCs w:val="18"/>
                <w:lang w:eastAsia="zh-Hans"/>
              </w:rPr>
              <w:t>3</w:t>
            </w:r>
            <w:r>
              <w:rPr>
                <w:rFonts w:hint="eastAsia" w:ascii="宋体" w:hAnsi="宋体" w:cs="宋体"/>
                <w:color w:val="000000"/>
                <w:kern w:val="0"/>
                <w:sz w:val="18"/>
                <w:szCs w:val="18"/>
                <w:lang w:eastAsia="zh-Hans"/>
              </w:rPr>
              <w:t>个新媒体平台</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项目产出（30%）</w:t>
            </w:r>
          </w:p>
        </w:tc>
        <w:tc>
          <w:tcPr>
            <w:tcW w:w="1136"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质量指标</w:t>
            </w:r>
            <w:r>
              <w:rPr>
                <w:rFonts w:hint="eastAsia" w:ascii="宋体" w:hAnsi="宋体" w:cs="宋体"/>
                <w:b/>
                <w:bCs/>
                <w:color w:val="000000"/>
                <w:kern w:val="0"/>
                <w:sz w:val="18"/>
                <w:szCs w:val="18"/>
              </w:rPr>
              <w:t>　</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《演艺昆明》微信服务号运营推送完成率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lang w:eastAsia="zh-Hans"/>
              </w:rPr>
            </w:pPr>
            <w:r>
              <w:rPr>
                <w:rFonts w:ascii="宋体" w:hAnsi="宋体" w:cs="宋体"/>
                <w:color w:val="000000"/>
                <w:kern w:val="0"/>
                <w:sz w:val="18"/>
                <w:szCs w:val="18"/>
              </w:rPr>
              <w:t>2</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ascii="宋体" w:hAnsi="宋体" w:cs="宋体"/>
                <w:color w:val="000000"/>
                <w:kern w:val="0"/>
                <w:sz w:val="18"/>
                <w:szCs w:val="18"/>
              </w:rPr>
              <w:t>2</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lang w:eastAsia="zh-Hans"/>
              </w:rPr>
            </w:pPr>
            <w:r>
              <w:rPr>
                <w:rFonts w:hint="eastAsia" w:ascii="宋体" w:hAnsi="宋体" w:cs="宋体"/>
                <w:color w:val="000000"/>
                <w:kern w:val="0"/>
                <w:sz w:val="18"/>
                <w:szCs w:val="18"/>
                <w:lang w:eastAsia="zh-Hans"/>
              </w:rPr>
              <w:t>微信公共号运维</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69"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ascii="宋体" w:hAnsi="宋体" w:cs="宋体"/>
                <w:color w:val="000000"/>
                <w:kern w:val="0"/>
                <w:sz w:val="18"/>
                <w:szCs w:val="18"/>
              </w:rPr>
              <w:t>《</w:t>
            </w:r>
            <w:r>
              <w:rPr>
                <w:rFonts w:hint="eastAsia" w:ascii="宋体" w:hAnsi="宋体" w:cs="宋体"/>
                <w:color w:val="000000"/>
                <w:kern w:val="0"/>
                <w:sz w:val="18"/>
                <w:szCs w:val="18"/>
                <w:lang w:eastAsia="zh-Hans"/>
              </w:rPr>
              <w:t>演艺昆明</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视频号运营推送完成率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视频号运维</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ascii="宋体" w:hAnsi="宋体" w:cs="宋体"/>
                <w:color w:val="000000"/>
                <w:kern w:val="0"/>
                <w:sz w:val="18"/>
                <w:szCs w:val="18"/>
              </w:rPr>
              <w:t>《</w:t>
            </w:r>
            <w:r>
              <w:rPr>
                <w:rFonts w:hint="eastAsia" w:ascii="宋体" w:hAnsi="宋体" w:cs="宋体"/>
                <w:color w:val="000000"/>
                <w:kern w:val="0"/>
                <w:sz w:val="18"/>
                <w:szCs w:val="18"/>
                <w:lang w:eastAsia="zh-Hans"/>
              </w:rPr>
              <w:t>演艺昆明</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今日头条号运营推送完成率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ascii="宋体" w:hAnsi="宋体" w:cs="宋体"/>
                <w:color w:val="000000"/>
                <w:kern w:val="0"/>
                <w:sz w:val="18"/>
                <w:szCs w:val="18"/>
              </w:rPr>
              <w:t>2</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今日头条号运维</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ascii="宋体" w:hAnsi="宋体" w:cs="宋体"/>
                <w:color w:val="000000"/>
                <w:kern w:val="0"/>
                <w:sz w:val="18"/>
                <w:szCs w:val="18"/>
              </w:rPr>
              <w:t>《</w:t>
            </w:r>
            <w:r>
              <w:rPr>
                <w:rFonts w:hint="eastAsia" w:ascii="宋体" w:hAnsi="宋体" w:cs="宋体"/>
                <w:color w:val="000000"/>
                <w:kern w:val="0"/>
                <w:sz w:val="18"/>
                <w:szCs w:val="18"/>
                <w:lang w:eastAsia="zh-Hans"/>
              </w:rPr>
              <w:t>演艺昆明</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特刊完成率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ascii="宋体" w:hAnsi="宋体" w:cs="宋体"/>
                <w:color w:val="000000"/>
                <w:kern w:val="0"/>
                <w:sz w:val="18"/>
                <w:szCs w:val="18"/>
              </w:rPr>
              <w:t>2</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特刊采编</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效益指标</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136"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社会效益指标</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《演艺昆明》线上平台累计浏览量</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lang w:eastAsia="zh-Hans"/>
              </w:rPr>
            </w:pPr>
            <w:r>
              <w:rPr>
                <w:rFonts w:hint="eastAsia" w:ascii="宋体" w:hAnsi="宋体" w:cs="宋体"/>
                <w:color w:val="000000"/>
                <w:kern w:val="0"/>
                <w:sz w:val="18"/>
                <w:szCs w:val="18"/>
                <w:lang w:eastAsia="zh-Hans"/>
              </w:rPr>
              <w:t>累计阅读量</w:t>
            </w:r>
            <w:r>
              <w:rPr>
                <w:rFonts w:ascii="宋体" w:hAnsi="宋体" w:cs="宋体"/>
                <w:color w:val="000000"/>
                <w:kern w:val="0"/>
                <w:sz w:val="18"/>
                <w:szCs w:val="18"/>
                <w:lang w:eastAsia="zh-Hans"/>
              </w:rPr>
              <w:t>10</w:t>
            </w:r>
            <w:r>
              <w:rPr>
                <w:rFonts w:hint="eastAsia" w:ascii="宋体" w:hAnsi="宋体" w:cs="宋体"/>
                <w:color w:val="000000"/>
                <w:kern w:val="0"/>
                <w:sz w:val="18"/>
                <w:szCs w:val="18"/>
                <w:lang w:eastAsia="zh-Hans"/>
              </w:rPr>
              <w:t>万以上</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ascii="宋体" w:hAnsi="宋体" w:cs="宋体"/>
                <w:color w:val="000000"/>
                <w:kern w:val="0"/>
                <w:sz w:val="18"/>
                <w:szCs w:val="18"/>
              </w:rPr>
              <w:t>《</w:t>
            </w:r>
            <w:r>
              <w:rPr>
                <w:rFonts w:hint="eastAsia" w:ascii="宋体" w:hAnsi="宋体" w:cs="宋体"/>
                <w:color w:val="000000"/>
                <w:kern w:val="0"/>
                <w:sz w:val="18"/>
                <w:szCs w:val="18"/>
                <w:lang w:eastAsia="zh-Hans"/>
              </w:rPr>
              <w:t>演艺昆明</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特刊读者数量</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累计读者</w:t>
            </w:r>
            <w:r>
              <w:rPr>
                <w:rFonts w:ascii="宋体" w:hAnsi="宋体" w:cs="宋体"/>
                <w:color w:val="000000"/>
                <w:kern w:val="0"/>
                <w:sz w:val="18"/>
                <w:szCs w:val="18"/>
                <w:lang w:eastAsia="zh-Hans"/>
              </w:rPr>
              <w:t>2</w:t>
            </w:r>
            <w:r>
              <w:rPr>
                <w:rFonts w:hint="eastAsia" w:ascii="宋体" w:hAnsi="宋体" w:cs="宋体"/>
                <w:color w:val="000000"/>
                <w:kern w:val="0"/>
                <w:sz w:val="18"/>
                <w:szCs w:val="18"/>
                <w:lang w:eastAsia="zh-Hans"/>
              </w:rPr>
              <w:t>万以上</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现场调查</w:t>
            </w:r>
          </w:p>
        </w:tc>
      </w:tr>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“演艺昆明”品牌影响力持续扩大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9</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影响力持续扩大</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符合相关要求，得满分；一项不符合，扣相应分数。</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满意度</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指标（10%）</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服务对象及大众满意度较高</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9</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lang w:eastAsia="zh-Hans"/>
              </w:rPr>
            </w:pPr>
            <w:r>
              <w:rPr>
                <w:rFonts w:hint="eastAsia" w:ascii="宋体" w:hAnsi="宋体" w:cs="宋体"/>
                <w:color w:val="000000"/>
                <w:kern w:val="0"/>
                <w:sz w:val="18"/>
                <w:szCs w:val="18"/>
                <w:lang w:eastAsia="zh-Hans"/>
              </w:rPr>
              <w:t>满意度大于</w:t>
            </w:r>
            <w:r>
              <w:rPr>
                <w:rFonts w:ascii="宋体" w:hAnsi="宋体" w:cs="宋体"/>
                <w:color w:val="000000"/>
                <w:kern w:val="0"/>
                <w:sz w:val="18"/>
                <w:szCs w:val="18"/>
                <w:lang w:eastAsia="zh-Hans"/>
              </w:rPr>
              <w:t>95%</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符合相关要求，得满分；一项不符合，扣相应分数。</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98</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r>
    </w:tbl>
    <w:p>
      <w:pPr>
        <w:pStyle w:val="2"/>
        <w:rPr>
          <w:rFonts w:hint="eastAsia"/>
        </w:rPr>
        <w:sectPr>
          <w:pgSz w:w="11906" w:h="16838"/>
          <w:pgMar w:top="1440" w:right="1800" w:bottom="1440" w:left="1800" w:header="851" w:footer="992" w:gutter="0"/>
          <w:cols w:space="720" w:num="1"/>
          <w:docGrid w:type="lines" w:linePitch="312" w:charSpace="0"/>
        </w:sectPr>
      </w:pPr>
    </w:p>
    <w:p>
      <w:pPr>
        <w:widowControl/>
        <w:jc w:val="left"/>
        <w:rPr>
          <w:rFonts w:hint="eastAsia" w:ascii="楷体_GB2312" w:eastAsia="楷体_GB2312"/>
          <w:sz w:val="32"/>
          <w:szCs w:val="32"/>
        </w:rPr>
      </w:pPr>
      <w:r>
        <w:rPr>
          <w:rFonts w:hint="eastAsia" w:ascii="楷体_GB2312" w:eastAsia="楷体_GB2312"/>
          <w:sz w:val="32"/>
          <w:szCs w:val="32"/>
        </w:rPr>
        <w:t xml:space="preserve"> 项目九：</w:t>
      </w:r>
    </w:p>
    <w:p>
      <w:pPr>
        <w:widowControl/>
        <w:jc w:val="center"/>
        <w:rPr>
          <w:rFonts w:ascii="方正小标宋_GBK" w:eastAsia="方正小标宋_GBK"/>
          <w:sz w:val="44"/>
          <w:szCs w:val="44"/>
        </w:rPr>
      </w:pPr>
      <w:r>
        <w:rPr>
          <w:rFonts w:hint="eastAsia" w:eastAsia="方正小标宋简体"/>
          <w:bCs/>
          <w:sz w:val="44"/>
          <w:szCs w:val="32"/>
        </w:rPr>
        <w:t>昆明市“当好排头兵”大竞赛活动展陈布展项目支出绩效评价共性指标体系框架</w:t>
      </w:r>
    </w:p>
    <w:tbl>
      <w:tblPr>
        <w:tblStyle w:val="16"/>
        <w:tblpPr w:leftFromText="180" w:rightFromText="180" w:vertAnchor="text" w:horzAnchor="page" w:tblpX="1201" w:tblpY="383"/>
        <w:tblW w:w="10412" w:type="dxa"/>
        <w:tblInd w:w="0" w:type="dxa"/>
        <w:tblLayout w:type="fixed"/>
        <w:tblCellMar>
          <w:top w:w="0" w:type="dxa"/>
          <w:left w:w="108" w:type="dxa"/>
          <w:bottom w:w="0" w:type="dxa"/>
          <w:right w:w="108" w:type="dxa"/>
        </w:tblCellMar>
      </w:tblPr>
      <w:tblGrid>
        <w:gridCol w:w="846"/>
        <w:gridCol w:w="970"/>
        <w:gridCol w:w="1007"/>
        <w:gridCol w:w="1063"/>
        <w:gridCol w:w="725"/>
        <w:gridCol w:w="850"/>
        <w:gridCol w:w="1650"/>
        <w:gridCol w:w="1656"/>
        <w:gridCol w:w="1645"/>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00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7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65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6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中共昆明市委办公室昆明市人民政府办公室下发的方案通知</w:t>
            </w:r>
          </w:p>
        </w:tc>
      </w:tr>
      <w:tr>
        <w:tblPrEx>
          <w:tblCellMar>
            <w:top w:w="0" w:type="dxa"/>
            <w:left w:w="108" w:type="dxa"/>
            <w:bottom w:w="0" w:type="dxa"/>
            <w:right w:w="108" w:type="dxa"/>
          </w:tblCellMar>
        </w:tblPrEx>
        <w:trPr>
          <w:trHeight w:val="10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5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2</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中共昆明市委办公室昆明市人民政府办公室下发的方案通知</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中共昆明市委办公室昆明市人民政府办公室下发的方案通知</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中共昆明市委办公室昆明市人民政府办公室下发的方案通知</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中共昆明市委办公室昆明市人民政府办公室下发的方案通知</w:t>
            </w:r>
          </w:p>
        </w:tc>
      </w:tr>
      <w:tr>
        <w:tblPrEx>
          <w:tblCellMar>
            <w:top w:w="0" w:type="dxa"/>
            <w:left w:w="108" w:type="dxa"/>
            <w:bottom w:w="0" w:type="dxa"/>
            <w:right w:w="108" w:type="dxa"/>
          </w:tblCellMar>
        </w:tblPrEx>
        <w:trPr>
          <w:trHeight w:val="9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007"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中共昆明市委办公室昆明市人民政府办公室下发的方案通知、绩效目标申报表</w:t>
            </w:r>
          </w:p>
        </w:tc>
      </w:tr>
      <w:tr>
        <w:tblPrEx>
          <w:tblCellMar>
            <w:top w:w="0" w:type="dxa"/>
            <w:left w:w="108" w:type="dxa"/>
            <w:bottom w:w="0" w:type="dxa"/>
            <w:right w:w="108" w:type="dxa"/>
          </w:tblCellMar>
        </w:tblPrEx>
        <w:trPr>
          <w:trHeight w:val="79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中共昆明市委办公室昆明市人民政府办公室下发的方案通知、绩效目标申报表</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中共昆明市委办公室昆明市人民政府办公室下发的方案通知、绩效目标申报表</w:t>
            </w:r>
          </w:p>
        </w:tc>
      </w:tr>
      <w:tr>
        <w:tblPrEx>
          <w:tblCellMar>
            <w:top w:w="0" w:type="dxa"/>
            <w:left w:w="108" w:type="dxa"/>
            <w:bottom w:w="0" w:type="dxa"/>
            <w:right w:w="108" w:type="dxa"/>
          </w:tblCellMar>
        </w:tblPrEx>
        <w:trPr>
          <w:trHeight w:val="72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中共昆明市委办公室昆明市人民政府办公室下发的方案通知、绩效目标申报表</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中共昆明市委办公室昆明市人民政府办公室下发的方案通知</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656" w:type="dxa"/>
            <w:tcBorders>
              <w:top w:val="nil"/>
              <w:left w:val="nil"/>
              <w:bottom w:val="single" w:color="auto" w:sz="4" w:space="0"/>
              <w:right w:val="single" w:color="auto" w:sz="4" w:space="0"/>
            </w:tcBorders>
            <w:noWrap w:val="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007"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《昆明市开展“当好排头兵”大竞赛活动实施方案》</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64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rPr>
              <w:t>《昆明市开展“当好排头兵”大竞赛活动实施方案》</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94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7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85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1147"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C11.项目数量</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C111.连续三个季度开展展陈布展工作</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是否符合《昆明市开展“当好排头兵”大竞赛活动实施方案》要求设定</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《昆明市开展“当好排头兵”大竞赛活动实施方案》</w:t>
            </w:r>
          </w:p>
        </w:tc>
      </w:tr>
      <w:tr>
        <w:tblPrEx>
          <w:tblCellMar>
            <w:top w:w="0" w:type="dxa"/>
            <w:left w:w="108" w:type="dxa"/>
            <w:bottom w:w="0" w:type="dxa"/>
            <w:right w:w="108" w:type="dxa"/>
          </w:tblCellMar>
        </w:tblPrEx>
        <w:trPr>
          <w:trHeight w:val="155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C112.全案整体概念创意设计及文案全体系创作</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是否符合《昆明市开展“当好排头兵”大竞赛活动实施方案》要求设定</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符合，得满分；基本符合，得80%；不符合，不得分。</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《昆明市开展“当好排头兵”大竞赛活动实施方案》</w:t>
            </w:r>
          </w:p>
        </w:tc>
      </w:tr>
      <w:tr>
        <w:tblPrEx>
          <w:tblCellMar>
            <w:top w:w="0" w:type="dxa"/>
            <w:left w:w="108" w:type="dxa"/>
            <w:bottom w:w="0" w:type="dxa"/>
            <w:right w:w="108" w:type="dxa"/>
          </w:tblCellMar>
        </w:tblPrEx>
        <w:trPr>
          <w:trHeight w:val="155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C113.展陈布展</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是否符合《昆明市开展“当好排头兵”大竞赛活动实施方案》要求设定</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230" w:hRule="atLeast"/>
        </w:trPr>
        <w:tc>
          <w:tcPr>
            <w:tcW w:w="84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C12.项目质量</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C121.全案整体概念创意设计及文案全体系创作符合各竞赛活动季度开展情况，版面美观、亮点突出、形式创新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是否符合《昆明市开展“当好排头兵”大竞赛活动实施方案》要求设定</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《昆明市开展“当好排头兵”大竞赛活动实施方案》</w:t>
            </w:r>
          </w:p>
        </w:tc>
      </w:tr>
      <w:tr>
        <w:tblPrEx>
          <w:tblCellMar>
            <w:top w:w="0" w:type="dxa"/>
            <w:left w:w="108" w:type="dxa"/>
            <w:bottom w:w="0" w:type="dxa"/>
            <w:right w:w="108" w:type="dxa"/>
          </w:tblCellMar>
        </w:tblPrEx>
        <w:trPr>
          <w:trHeight w:val="987"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C112.展板展示效果好</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是否符合《昆明市开展“当好排头兵”大竞赛活动实施方案》要求设定</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《昆明市开展“当好排头兵”大竞赛活动实施方案》</w:t>
            </w:r>
          </w:p>
        </w:tc>
      </w:tr>
      <w:tr>
        <w:tblPrEx>
          <w:tblCellMar>
            <w:top w:w="0" w:type="dxa"/>
            <w:left w:w="108" w:type="dxa"/>
            <w:bottom w:w="0" w:type="dxa"/>
            <w:right w:w="108" w:type="dxa"/>
          </w:tblCellMar>
        </w:tblPrEx>
        <w:trPr>
          <w:trHeight w:val="1498"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C13.项目时效</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C131.一季度“晒成绩”展陈展示</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是否符合中共昆明市委办公室昆明市人民政府办公室下发的方案通知要求设定</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《昆明市开展“当好排头兵”大竞赛活动实施方案》</w:t>
            </w:r>
          </w:p>
        </w:tc>
      </w:tr>
      <w:tr>
        <w:tblPrEx>
          <w:tblCellMar>
            <w:top w:w="0" w:type="dxa"/>
            <w:left w:w="108" w:type="dxa"/>
            <w:bottom w:w="0" w:type="dxa"/>
            <w:right w:w="108" w:type="dxa"/>
          </w:tblCellMar>
        </w:tblPrEx>
        <w:trPr>
          <w:trHeight w:val="1498"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C132.二季度“晒成绩”展陈展示</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是否符合中共昆明市委办公室昆明市人民政府办公室下发的方案通知要求设定</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《昆明市开展“当好排头兵”大竞赛活动实施方案》</w:t>
            </w:r>
          </w:p>
        </w:tc>
      </w:tr>
      <w:tr>
        <w:tblPrEx>
          <w:tblCellMar>
            <w:top w:w="0" w:type="dxa"/>
            <w:left w:w="108" w:type="dxa"/>
            <w:bottom w:w="0" w:type="dxa"/>
            <w:right w:w="108" w:type="dxa"/>
          </w:tblCellMar>
        </w:tblPrEx>
        <w:trPr>
          <w:trHeight w:val="1498"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C133.三季度“晒成绩”展陈展示</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是否符合《昆明市开展“当好排头兵”大竞赛活动实施方案》要求设定</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《昆明市开展“当好排头兵”大竞赛活动实施方案》</w:t>
            </w:r>
          </w:p>
        </w:tc>
      </w:tr>
      <w:tr>
        <w:tblPrEx>
          <w:tblCellMar>
            <w:top w:w="0" w:type="dxa"/>
            <w:left w:w="108" w:type="dxa"/>
            <w:bottom w:w="0" w:type="dxa"/>
            <w:right w:w="108" w:type="dxa"/>
          </w:tblCellMar>
        </w:tblPrEx>
        <w:trPr>
          <w:trHeight w:val="27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0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C21.社会效益指标</w:t>
            </w:r>
          </w:p>
        </w:tc>
        <w:tc>
          <w:tcPr>
            <w:tcW w:w="106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C211.激励全市干部队伍干事创业激情“六个方面”当好全省排头，奋力推动高质量发展，以优异成绩迎接党的二十大胜利召开。</w:t>
            </w:r>
          </w:p>
        </w:tc>
        <w:tc>
          <w:tcPr>
            <w:tcW w:w="7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65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是否符合《昆明市开展“当好排头兵”大竞赛活动实施方案》要求设定</w:t>
            </w:r>
          </w:p>
        </w:tc>
        <w:tc>
          <w:tcPr>
            <w:tcW w:w="165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《昆明市开展“当好排头兵”大竞赛活动实施方案》</w:t>
            </w:r>
          </w:p>
        </w:tc>
      </w:tr>
      <w:tr>
        <w:tblPrEx>
          <w:tblCellMar>
            <w:top w:w="0" w:type="dxa"/>
            <w:left w:w="108" w:type="dxa"/>
            <w:bottom w:w="0" w:type="dxa"/>
            <w:right w:w="108" w:type="dxa"/>
          </w:tblCellMar>
        </w:tblPrEx>
        <w:trPr>
          <w:trHeight w:val="3194" w:hRule="atLeast"/>
        </w:trPr>
        <w:tc>
          <w:tcPr>
            <w:tcW w:w="846"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70"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形成比学赶超的浓厚氛围，推动昆明各项工作迈上新台阶，当好全省经济社会发展排头兵。</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是否符合《昆明市开展“当好排头兵”大竞赛活动实施方案》要求设定</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《昆明市开展“当好排头兵”大竞赛活动实施方案》</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7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满意度</w:t>
            </w:r>
          </w:p>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指标（10%）</w:t>
            </w:r>
          </w:p>
        </w:tc>
        <w:tc>
          <w:tcPr>
            <w:tcW w:w="10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服务对象满意度指标</w:t>
            </w:r>
          </w:p>
        </w:tc>
        <w:tc>
          <w:tcPr>
            <w:tcW w:w="106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全市干部队伍满意度高</w:t>
            </w:r>
          </w:p>
        </w:tc>
        <w:tc>
          <w:tcPr>
            <w:tcW w:w="7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165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是否符合《昆明市开展“当好排头兵”大竞赛活动实施方案》要求设定</w:t>
            </w:r>
          </w:p>
        </w:tc>
        <w:tc>
          <w:tcPr>
            <w:tcW w:w="165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符合相关要求，得满分；一项不符合，扣相应分数。</w:t>
            </w:r>
          </w:p>
        </w:tc>
        <w:tc>
          <w:tcPr>
            <w:tcW w:w="164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《昆明市开展“当好排头兵”大竞赛活动实施方案》</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7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007"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63"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725"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85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99.4分</w:t>
            </w:r>
          </w:p>
        </w:tc>
        <w:tc>
          <w:tcPr>
            <w:tcW w:w="165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656"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
      <w:pPr>
        <w:widowControl/>
        <w:jc w:val="left"/>
        <w:rPr>
          <w:rFonts w:hint="eastAsia" w:ascii="楷体_GB2312" w:eastAsia="楷体_GB2312"/>
          <w:sz w:val="32"/>
          <w:szCs w:val="32"/>
        </w:rPr>
      </w:pPr>
      <w:r>
        <w:br w:type="page"/>
      </w:r>
      <w:r>
        <w:rPr>
          <w:rFonts w:hint="eastAsia" w:ascii="楷体_GB2312" w:eastAsia="楷体_GB2312"/>
          <w:sz w:val="32"/>
          <w:szCs w:val="32"/>
        </w:rPr>
        <w:t>项目十：</w:t>
      </w:r>
    </w:p>
    <w:p>
      <w:pPr>
        <w:widowControl/>
        <w:jc w:val="center"/>
        <w:rPr>
          <w:rFonts w:hint="eastAsia"/>
        </w:rPr>
      </w:pPr>
      <w:r>
        <w:rPr>
          <w:rFonts w:hint="eastAsia" w:ascii="方正小标宋简体" w:hAnsi="方正小标宋简体" w:eastAsia="方正小标宋简体" w:cs="方正小标宋简体"/>
          <w:sz w:val="44"/>
          <w:szCs w:val="44"/>
        </w:rPr>
        <w:t>廉洁文化产品制作和传播项目</w:t>
      </w:r>
      <w:r>
        <w:rPr>
          <w:rFonts w:hint="eastAsia" w:eastAsia="方正小标宋简体"/>
          <w:bCs/>
          <w:sz w:val="44"/>
          <w:szCs w:val="32"/>
        </w:rPr>
        <w:t>支出绩效评价共性指标体系框架</w:t>
      </w:r>
    </w:p>
    <w:p>
      <w:pPr>
        <w:pStyle w:val="2"/>
        <w:rPr>
          <w:rFonts w:hint="eastAsia"/>
        </w:rPr>
      </w:pPr>
    </w:p>
    <w:tbl>
      <w:tblPr>
        <w:tblStyle w:val="16"/>
        <w:tblpPr w:leftFromText="180" w:rightFromText="180" w:vertAnchor="text" w:horzAnchor="page" w:tblpXSpec="center" w:tblpY="383"/>
        <w:tblW w:w="10412" w:type="dxa"/>
        <w:jc w:val="center"/>
        <w:tblLayout w:type="fixed"/>
        <w:tblCellMar>
          <w:top w:w="0" w:type="dxa"/>
          <w:left w:w="108" w:type="dxa"/>
          <w:bottom w:w="0" w:type="dxa"/>
          <w:right w:w="108" w:type="dxa"/>
        </w:tblCellMar>
      </w:tblPr>
      <w:tblGrid>
        <w:gridCol w:w="891"/>
        <w:gridCol w:w="969"/>
        <w:gridCol w:w="1136"/>
        <w:gridCol w:w="1379"/>
        <w:gridCol w:w="615"/>
        <w:gridCol w:w="670"/>
        <w:gridCol w:w="1583"/>
        <w:gridCol w:w="1959"/>
        <w:gridCol w:w="1210"/>
      </w:tblGrid>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jc w:val="center"/>
        </w:trPr>
        <w:tc>
          <w:tcPr>
            <w:tcW w:w="8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项目决策（20%）</w:t>
            </w: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项目立项（8%）</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部门中长期规划目标</w:t>
            </w:r>
          </w:p>
        </w:tc>
      </w:tr>
      <w:tr>
        <w:tblPrEx>
          <w:tblCellMar>
            <w:top w:w="0" w:type="dxa"/>
            <w:left w:w="108" w:type="dxa"/>
            <w:bottom w:w="0" w:type="dxa"/>
            <w:right w:w="108" w:type="dxa"/>
          </w:tblCellMar>
        </w:tblPrEx>
        <w:trPr>
          <w:trHeight w:val="105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市政府相关规划、决策、批复</w:t>
            </w:r>
          </w:p>
        </w:tc>
      </w:tr>
      <w:tr>
        <w:tblPrEx>
          <w:tblCellMar>
            <w:top w:w="0" w:type="dxa"/>
            <w:left w:w="108" w:type="dxa"/>
            <w:bottom w:w="0" w:type="dxa"/>
            <w:right w:w="108" w:type="dxa"/>
          </w:tblCellMar>
        </w:tblPrEx>
        <w:trPr>
          <w:trHeight w:val="54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部门职责文件</w:t>
            </w:r>
          </w:p>
        </w:tc>
      </w:tr>
      <w:tr>
        <w:tblPrEx>
          <w:tblCellMar>
            <w:top w:w="0" w:type="dxa"/>
            <w:left w:w="108" w:type="dxa"/>
            <w:bottom w:w="0" w:type="dxa"/>
            <w:right w:w="108" w:type="dxa"/>
          </w:tblCellMar>
        </w:tblPrEx>
        <w:trPr>
          <w:trHeight w:val="54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调研报告</w:t>
            </w:r>
          </w:p>
        </w:tc>
      </w:tr>
      <w:tr>
        <w:tblPrEx>
          <w:tblCellMar>
            <w:top w:w="0" w:type="dxa"/>
            <w:left w:w="108" w:type="dxa"/>
            <w:bottom w:w="0" w:type="dxa"/>
            <w:right w:w="108" w:type="dxa"/>
          </w:tblCellMar>
        </w:tblPrEx>
        <w:trPr>
          <w:trHeight w:val="54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立项申请、批复文件</w:t>
            </w:r>
          </w:p>
        </w:tc>
      </w:tr>
      <w:tr>
        <w:tblPrEx>
          <w:tblCellMar>
            <w:top w:w="0" w:type="dxa"/>
            <w:left w:w="108" w:type="dxa"/>
            <w:bottom w:w="0" w:type="dxa"/>
            <w:right w:w="108" w:type="dxa"/>
          </w:tblCellMar>
        </w:tblPrEx>
        <w:trPr>
          <w:trHeight w:val="91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项目目标（12%）</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jc w:val="center"/>
        </w:trPr>
        <w:tc>
          <w:tcPr>
            <w:tcW w:w="8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项目管理（20%）</w:t>
            </w: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投入管理（4%）</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r>
      <w:tr>
        <w:tblPrEx>
          <w:tblCellMar>
            <w:top w:w="0" w:type="dxa"/>
            <w:left w:w="108" w:type="dxa"/>
            <w:bottom w:w="0" w:type="dxa"/>
            <w:right w:w="108" w:type="dxa"/>
          </w:tblCellMar>
        </w:tblPrEx>
        <w:trPr>
          <w:trHeight w:val="81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ascii="宋体" w:hAnsi="宋体" w:cs="宋体"/>
                <w:color w:val="000000"/>
                <w:kern w:val="0"/>
                <w:sz w:val="18"/>
                <w:szCs w:val="18"/>
              </w:rPr>
              <w:t>1</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预算调整文件</w:t>
            </w:r>
          </w:p>
        </w:tc>
      </w:tr>
      <w:tr>
        <w:tblPrEx>
          <w:tblCellMar>
            <w:top w:w="0" w:type="dxa"/>
            <w:left w:w="108" w:type="dxa"/>
            <w:bottom w:w="0" w:type="dxa"/>
            <w:right w:w="108" w:type="dxa"/>
          </w:tblCellMar>
        </w:tblPrEx>
        <w:trPr>
          <w:trHeight w:val="123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财务管理（6%）</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95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tblPrEx>
          <w:tblCellMar>
            <w:top w:w="0" w:type="dxa"/>
            <w:left w:w="108" w:type="dxa"/>
            <w:bottom w:w="0" w:type="dxa"/>
            <w:right w:w="108" w:type="dxa"/>
          </w:tblCellMar>
        </w:tblPrEx>
        <w:trPr>
          <w:trHeight w:val="75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tblPrEx>
          <w:tblCellMar>
            <w:top w:w="0" w:type="dxa"/>
            <w:left w:w="108" w:type="dxa"/>
            <w:bottom w:w="0" w:type="dxa"/>
            <w:right w:w="108" w:type="dxa"/>
          </w:tblCellMar>
        </w:tblPrEx>
        <w:trPr>
          <w:trHeight w:val="75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项目实施（10%）</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r>
      <w:tr>
        <w:tblPrEx>
          <w:tblCellMar>
            <w:top w:w="0" w:type="dxa"/>
            <w:left w:w="108" w:type="dxa"/>
            <w:bottom w:w="0" w:type="dxa"/>
            <w:right w:w="108" w:type="dxa"/>
          </w:tblCellMar>
        </w:tblPrEx>
        <w:trPr>
          <w:trHeight w:val="885" w:hRule="atLeast"/>
          <w:jc w:val="center"/>
        </w:trPr>
        <w:tc>
          <w:tcPr>
            <w:tcW w:w="8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jc w:val="center"/>
        </w:trPr>
        <w:tc>
          <w:tcPr>
            <w:tcW w:w="89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61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83"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959"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r>
      <w:tr>
        <w:tblPrEx>
          <w:tblCellMar>
            <w:top w:w="0" w:type="dxa"/>
            <w:left w:w="108" w:type="dxa"/>
            <w:bottom w:w="0" w:type="dxa"/>
            <w:right w:w="108" w:type="dxa"/>
          </w:tblCellMar>
        </w:tblPrEx>
        <w:trPr>
          <w:trHeight w:val="885"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780"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21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jc w:val="center"/>
        </w:trPr>
        <w:tc>
          <w:tcPr>
            <w:tcW w:w="89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37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540" w:hRule="atLeast"/>
          <w:jc w:val="center"/>
        </w:trPr>
        <w:tc>
          <w:tcPr>
            <w:tcW w:w="89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8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95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1200" w:hRule="atLeast"/>
          <w:jc w:val="center"/>
        </w:trPr>
        <w:tc>
          <w:tcPr>
            <w:tcW w:w="89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项目绩效（60%）</w:t>
            </w: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项目产出（30%）</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微公号推送期数</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rPr>
              <w:t>微公号推送期数位3</w:t>
            </w:r>
            <w:r>
              <w:t>03</w:t>
            </w:r>
            <w:r>
              <w:rPr>
                <w:rFonts w:hint="eastAsia"/>
              </w:rPr>
              <w:t>期</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1200" w:hRule="atLeast"/>
          <w:jc w:val="center"/>
        </w:trPr>
        <w:tc>
          <w:tcPr>
            <w:tcW w:w="891"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969"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微博更新条数</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rPr>
              <w:t>微博更新条数为2</w:t>
            </w:r>
            <w:r>
              <w:t>67</w:t>
            </w:r>
            <w:r>
              <w:rPr>
                <w:rFonts w:hint="eastAsia"/>
              </w:rPr>
              <w:t>条</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eastAsia="zh-Hans"/>
              </w:rPr>
            </w:pPr>
            <w:r>
              <w:rPr>
                <w:rFonts w:hint="eastAsia" w:ascii="宋体" w:hAnsi="宋体" w:cs="宋体"/>
                <w:color w:val="000000"/>
                <w:kern w:val="0"/>
                <w:sz w:val="18"/>
                <w:szCs w:val="18"/>
                <w:lang w:eastAsia="zh-Hans"/>
              </w:rPr>
              <w:t>现场调查</w:t>
            </w:r>
          </w:p>
        </w:tc>
      </w:tr>
      <w:tr>
        <w:tblPrEx>
          <w:tblCellMar>
            <w:top w:w="0" w:type="dxa"/>
            <w:left w:w="108" w:type="dxa"/>
            <w:bottom w:w="0" w:type="dxa"/>
            <w:right w:w="108" w:type="dxa"/>
          </w:tblCellMar>
        </w:tblPrEx>
        <w:trPr>
          <w:trHeight w:val="825" w:hRule="atLeast"/>
          <w:jc w:val="center"/>
        </w:trPr>
        <w:tc>
          <w:tcPr>
            <w:tcW w:w="891"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纪检监察周刊期数</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rPr>
              <w:t>纪检监察周刊期数为4</w:t>
            </w:r>
            <w:r>
              <w:t>5</w:t>
            </w:r>
            <w:r>
              <w:rPr>
                <w:rFonts w:hint="eastAsia"/>
              </w:rPr>
              <w:t>期</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项目产出（30%）</w:t>
            </w:r>
          </w:p>
        </w:tc>
        <w:tc>
          <w:tcPr>
            <w:tcW w:w="1136"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质量指标</w:t>
            </w:r>
            <w:r>
              <w:rPr>
                <w:rFonts w:hint="eastAsia" w:ascii="宋体" w:hAnsi="宋体" w:cs="宋体"/>
                <w:b/>
                <w:bCs/>
                <w:color w:val="000000"/>
                <w:kern w:val="0"/>
                <w:sz w:val="18"/>
                <w:szCs w:val="18"/>
              </w:rPr>
              <w:t>　</w:t>
            </w: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微公号编辑差错率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lang w:eastAsia="zh-Hans"/>
              </w:rPr>
            </w:pPr>
            <w:r>
              <w:rPr>
                <w:rFonts w:ascii="宋体" w:hAnsi="宋体" w:cs="宋体"/>
                <w:color w:val="000000"/>
                <w:kern w:val="0"/>
                <w:sz w:val="18"/>
                <w:szCs w:val="18"/>
              </w:rPr>
              <w:t>2</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ascii="宋体" w:hAnsi="宋体" w:cs="宋体"/>
                <w:color w:val="000000"/>
                <w:kern w:val="0"/>
                <w:sz w:val="18"/>
                <w:szCs w:val="18"/>
              </w:rPr>
              <w:t>2</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lang w:eastAsia="zh-Hans"/>
              </w:rPr>
            </w:pPr>
            <w:r>
              <w:rPr>
                <w:rFonts w:hint="eastAsia" w:ascii="宋体" w:hAnsi="宋体" w:cs="宋体"/>
                <w:color w:val="000000"/>
                <w:kern w:val="0"/>
                <w:sz w:val="18"/>
                <w:szCs w:val="18"/>
                <w:lang w:eastAsia="zh-Hans"/>
              </w:rPr>
              <w:t>无差错</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69"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纪检监察周刊印刷瑕疵率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1583" w:type="dxa"/>
            <w:tcBorders>
              <w:top w:val="single" w:color="auto" w:sz="4" w:space="0"/>
              <w:left w:val="single" w:color="auto" w:sz="4" w:space="0"/>
              <w:bottom w:val="single" w:color="auto" w:sz="4" w:space="0"/>
              <w:right w:val="single" w:color="auto" w:sz="4" w:space="0"/>
            </w:tcBorders>
            <w:noWrap w:val="0"/>
            <w:vAlign w:val="top"/>
          </w:tcPr>
          <w:p>
            <w:r>
              <w:rPr>
                <w:rFonts w:hint="eastAsia" w:ascii="宋体" w:hAnsi="宋体" w:cs="宋体"/>
                <w:color w:val="000000"/>
                <w:kern w:val="0"/>
                <w:sz w:val="18"/>
                <w:szCs w:val="18"/>
                <w:lang w:eastAsia="zh-Hans"/>
              </w:rPr>
              <w:t>无差错</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纪检监察周刊差错率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ascii="宋体" w:hAnsi="宋体" w:cs="宋体"/>
                <w:color w:val="000000"/>
                <w:kern w:val="0"/>
                <w:sz w:val="18"/>
                <w:szCs w:val="18"/>
              </w:rPr>
              <w:t>2</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1583" w:type="dxa"/>
            <w:tcBorders>
              <w:top w:val="single" w:color="auto" w:sz="4" w:space="0"/>
              <w:left w:val="single" w:color="auto" w:sz="4" w:space="0"/>
              <w:bottom w:val="single" w:color="auto" w:sz="4" w:space="0"/>
              <w:right w:val="single" w:color="auto" w:sz="4" w:space="0"/>
            </w:tcBorders>
            <w:noWrap w:val="0"/>
            <w:vAlign w:val="top"/>
          </w:tcPr>
          <w:p>
            <w:r>
              <w:rPr>
                <w:rFonts w:hint="eastAsia" w:ascii="宋体" w:hAnsi="宋体" w:cs="宋体"/>
                <w:color w:val="000000"/>
                <w:kern w:val="0"/>
                <w:sz w:val="18"/>
                <w:szCs w:val="18"/>
                <w:lang w:eastAsia="zh-Hans"/>
              </w:rPr>
              <w:t>无差错</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微公号原创内容率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w:t>
            </w:r>
          </w:p>
        </w:tc>
        <w:tc>
          <w:tcPr>
            <w:tcW w:w="1583" w:type="dxa"/>
            <w:tcBorders>
              <w:top w:val="single" w:color="auto" w:sz="4" w:space="0"/>
              <w:left w:val="single" w:color="auto" w:sz="4" w:space="0"/>
              <w:bottom w:val="single" w:color="auto" w:sz="4" w:space="0"/>
              <w:right w:val="single" w:color="auto" w:sz="4" w:space="0"/>
            </w:tcBorders>
            <w:noWrap w:val="0"/>
            <w:vAlign w:val="top"/>
          </w:tcPr>
          <w:p>
            <w:pPr>
              <w:widowControl/>
              <w:rPr>
                <w:kern w:val="0"/>
                <w:sz w:val="22"/>
              </w:rPr>
            </w:pPr>
            <w:r>
              <w:rPr>
                <w:rFonts w:hint="eastAsia"/>
                <w:sz w:val="22"/>
              </w:rPr>
              <w:t>&gt;=30%</w:t>
            </w:r>
          </w:p>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微博更新差错率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ascii="宋体" w:hAnsi="宋体" w:cs="宋体"/>
                <w:color w:val="000000"/>
                <w:kern w:val="0"/>
                <w:sz w:val="18"/>
                <w:szCs w:val="18"/>
              </w:rPr>
              <w:t>1</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Hans"/>
              </w:rPr>
              <w:t>.</w:t>
            </w:r>
            <w:r>
              <w:rPr>
                <w:rFonts w:ascii="宋体" w:hAnsi="宋体" w:cs="宋体"/>
                <w:color w:val="000000"/>
                <w:kern w:val="0"/>
                <w:sz w:val="18"/>
                <w:szCs w:val="18"/>
                <w:lang w:eastAsia="zh-Hans"/>
              </w:rPr>
              <w:t>5</w:t>
            </w:r>
          </w:p>
        </w:tc>
        <w:tc>
          <w:tcPr>
            <w:tcW w:w="1583" w:type="dxa"/>
            <w:tcBorders>
              <w:top w:val="single" w:color="auto" w:sz="4" w:space="0"/>
              <w:left w:val="single" w:color="auto" w:sz="4" w:space="0"/>
              <w:bottom w:val="single" w:color="auto" w:sz="4" w:space="0"/>
              <w:right w:val="single" w:color="auto" w:sz="4" w:space="0"/>
            </w:tcBorders>
            <w:noWrap w:val="0"/>
            <w:vAlign w:val="top"/>
          </w:tcPr>
          <w:p>
            <w:r>
              <w:rPr>
                <w:rFonts w:hint="eastAsia" w:ascii="宋体" w:hAnsi="宋体" w:cs="宋体"/>
                <w:color w:val="000000"/>
                <w:kern w:val="0"/>
                <w:sz w:val="18"/>
                <w:szCs w:val="18"/>
                <w:lang w:eastAsia="zh-Hans"/>
              </w:rPr>
              <w:t>无差错</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时效指标</w:t>
            </w: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微公号推送率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lang w:eastAsia="zh-Hans"/>
              </w:rPr>
            </w:pPr>
            <w:r>
              <w:rPr>
                <w:rFonts w:hint="eastAsia" w:ascii="宋体" w:hAnsi="宋体" w:cs="宋体"/>
                <w:color w:val="000000"/>
                <w:kern w:val="0"/>
                <w:sz w:val="18"/>
                <w:szCs w:val="18"/>
                <w:lang w:eastAsia="zh-Hans"/>
              </w:rPr>
              <w:t>全部完成</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即时稿件发布率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eastAsia="zh-Hans"/>
              </w:rPr>
            </w:pPr>
            <w:r>
              <w:rPr>
                <w:rFonts w:hint="eastAsia" w:ascii="宋体" w:hAnsi="宋体" w:cs="宋体"/>
                <w:color w:val="000000"/>
                <w:kern w:val="0"/>
                <w:sz w:val="18"/>
                <w:szCs w:val="18"/>
                <w:lang w:eastAsia="zh-Hans"/>
              </w:rPr>
              <w:t>全部完成</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eastAsia="zh-Hans"/>
              </w:rPr>
            </w:pP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微博更新率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eastAsia="zh-Hans"/>
              </w:rPr>
            </w:pPr>
            <w:r>
              <w:rPr>
                <w:rFonts w:hint="eastAsia" w:ascii="宋体" w:hAnsi="宋体" w:cs="宋体"/>
                <w:color w:val="000000"/>
                <w:kern w:val="0"/>
                <w:sz w:val="18"/>
                <w:szCs w:val="18"/>
                <w:lang w:eastAsia="zh-Hans"/>
              </w:rPr>
              <w:t>全部完成</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eastAsia="zh-Hans"/>
              </w:rPr>
            </w:pPr>
          </w:p>
        </w:tc>
      </w:tr>
      <w:tr>
        <w:tblPrEx>
          <w:tblCellMar>
            <w:top w:w="0" w:type="dxa"/>
            <w:left w:w="108" w:type="dxa"/>
            <w:bottom w:w="0" w:type="dxa"/>
            <w:right w:w="108" w:type="dxa"/>
          </w:tblCellMar>
        </w:tblPrEx>
        <w:trPr>
          <w:trHeight w:val="540" w:hRule="atLeast"/>
          <w:jc w:val="center"/>
        </w:trPr>
        <w:tc>
          <w:tcPr>
            <w:tcW w:w="89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vMerge w:val="continue"/>
            <w:tcBorders>
              <w:left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发行及时性</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全部完成</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现场调查</w:t>
            </w:r>
          </w:p>
        </w:tc>
      </w:tr>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满意度</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指标（10%）</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市级部门满意度</w:t>
            </w:r>
            <w:r>
              <w:rPr>
                <w:rFonts w:hint="eastAsia" w:ascii="宋体" w:hAnsi="宋体" w:cs="宋体"/>
                <w:color w:val="000000"/>
                <w:kern w:val="0"/>
                <w:sz w:val="18"/>
                <w:szCs w:val="18"/>
              </w:rPr>
              <w:tab/>
            </w:r>
            <w:r>
              <w:rPr>
                <w:rFonts w:hint="eastAsia" w:ascii="宋体" w:hAnsi="宋体" w:cs="宋体"/>
                <w:color w:val="000000"/>
                <w:kern w:val="0"/>
                <w:sz w:val="18"/>
                <w:szCs w:val="18"/>
              </w:rPr>
              <w:tab/>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ascii="宋体" w:hAnsi="宋体" w:cs="宋体"/>
                <w:color w:val="000000"/>
                <w:kern w:val="0"/>
                <w:sz w:val="18"/>
                <w:szCs w:val="18"/>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lang w:eastAsia="zh-Hans"/>
              </w:rPr>
            </w:pPr>
            <w:r>
              <w:rPr>
                <w:rFonts w:hint="eastAsia" w:ascii="宋体" w:hAnsi="宋体" w:cs="宋体"/>
                <w:color w:val="000000"/>
                <w:kern w:val="0"/>
                <w:sz w:val="18"/>
                <w:szCs w:val="18"/>
                <w:lang w:eastAsia="zh-Hans"/>
              </w:rPr>
              <w:t>满意度大于</w:t>
            </w:r>
            <w:r>
              <w:rPr>
                <w:rFonts w:ascii="宋体" w:hAnsi="宋体" w:cs="宋体"/>
                <w:color w:val="000000"/>
                <w:kern w:val="0"/>
                <w:sz w:val="18"/>
                <w:szCs w:val="18"/>
                <w:lang w:eastAsia="zh-Hans"/>
              </w:rPr>
              <w:t>80%</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符合相关要求，得满分；一项不符合，扣相应分数。</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现场调查</w:t>
            </w:r>
          </w:p>
        </w:tc>
      </w:tr>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县区宣传系统满意度</w:t>
            </w:r>
            <w:r>
              <w:rPr>
                <w:rFonts w:hint="eastAsia" w:ascii="宋体" w:hAnsi="宋体" w:cs="宋体"/>
                <w:color w:val="000000"/>
                <w:kern w:val="0"/>
                <w:sz w:val="18"/>
                <w:szCs w:val="18"/>
              </w:rPr>
              <w:tab/>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eastAsia="zh-Hans"/>
              </w:rPr>
            </w:pPr>
            <w:r>
              <w:rPr>
                <w:rFonts w:hint="eastAsia" w:ascii="宋体" w:hAnsi="宋体" w:cs="宋体"/>
                <w:color w:val="000000"/>
                <w:kern w:val="0"/>
                <w:sz w:val="18"/>
                <w:szCs w:val="18"/>
                <w:lang w:eastAsia="zh-Hans"/>
              </w:rPr>
              <w:t>满意度大于</w:t>
            </w:r>
            <w:r>
              <w:rPr>
                <w:rFonts w:ascii="宋体" w:hAnsi="宋体" w:cs="宋体"/>
                <w:color w:val="000000"/>
                <w:kern w:val="0"/>
                <w:sz w:val="18"/>
                <w:szCs w:val="18"/>
                <w:lang w:eastAsia="zh-Hans"/>
              </w:rPr>
              <w:t>80%</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符合相关要求，得满分；一项不符合，扣相应分数。</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4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98</w:t>
            </w:r>
            <w:r>
              <w:rPr>
                <w:rFonts w:ascii="宋体" w:hAnsi="宋体" w:cs="宋体"/>
                <w:color w:val="000000"/>
                <w:kern w:val="0"/>
                <w:sz w:val="18"/>
                <w:szCs w:val="18"/>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1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项目十一</w:t>
      </w:r>
      <w:r>
        <w:rPr>
          <w:rFonts w:ascii="楷体_GB2312" w:hAnsi="Times New Roman" w:eastAsia="楷体_GB2312"/>
          <w:sz w:val="32"/>
          <w:szCs w:val="32"/>
          <w:lang w:eastAsia="zh-Hans"/>
        </w:rPr>
        <w:t>：</w:t>
      </w:r>
    </w:p>
    <w:p>
      <w:pPr>
        <w:widowControl/>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第十届书香昆明系列活动项目支出绩效</w:t>
      </w:r>
    </w:p>
    <w:p>
      <w:pPr>
        <w:widowControl/>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自评报告项目支出绩效评价</w:t>
      </w:r>
    </w:p>
    <w:tbl>
      <w:tblPr>
        <w:tblStyle w:val="16"/>
        <w:tblpPr w:leftFromText="180" w:rightFromText="180" w:vertAnchor="text" w:horzAnchor="page" w:tblpXSpec="center" w:tblpY="383"/>
        <w:tblW w:w="10412" w:type="dxa"/>
        <w:jc w:val="center"/>
        <w:tblLayout w:type="autofit"/>
        <w:tblCellMar>
          <w:top w:w="0" w:type="dxa"/>
          <w:left w:w="108" w:type="dxa"/>
          <w:bottom w:w="0" w:type="dxa"/>
          <w:right w:w="108" w:type="dxa"/>
        </w:tblCellMar>
      </w:tblPr>
      <w:tblGrid>
        <w:gridCol w:w="846"/>
        <w:gridCol w:w="970"/>
        <w:gridCol w:w="1142"/>
        <w:gridCol w:w="1386"/>
        <w:gridCol w:w="616"/>
        <w:gridCol w:w="673"/>
        <w:gridCol w:w="1591"/>
        <w:gridCol w:w="1972"/>
        <w:gridCol w:w="1216"/>
      </w:tblGrid>
      <w:tr>
        <w:tblPrEx>
          <w:tblCellMar>
            <w:top w:w="0" w:type="dxa"/>
            <w:left w:w="108" w:type="dxa"/>
            <w:bottom w:w="0" w:type="dxa"/>
            <w:right w:w="108" w:type="dxa"/>
          </w:tblCellMar>
        </w:tblPrEx>
        <w:trPr>
          <w:trHeight w:val="54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项目决策（20%）</w:t>
            </w: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项目立项（8%）</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部门中长期规划目标</w:t>
            </w:r>
          </w:p>
        </w:tc>
      </w:tr>
      <w:tr>
        <w:tblPrEx>
          <w:tblCellMar>
            <w:top w:w="0" w:type="dxa"/>
            <w:left w:w="108" w:type="dxa"/>
            <w:bottom w:w="0" w:type="dxa"/>
            <w:right w:w="108" w:type="dxa"/>
          </w:tblCellMar>
        </w:tblPrEx>
        <w:trPr>
          <w:trHeight w:val="10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市政府相关规划、决策、批复</w:t>
            </w:r>
          </w:p>
        </w:tc>
      </w:tr>
      <w:tr>
        <w:tblPrEx>
          <w:tblCellMar>
            <w:top w:w="0" w:type="dxa"/>
            <w:left w:w="108" w:type="dxa"/>
            <w:bottom w:w="0" w:type="dxa"/>
            <w:right w:w="108" w:type="dxa"/>
          </w:tblCellMar>
        </w:tblPrEx>
        <w:trPr>
          <w:trHeight w:val="54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部门职责文件</w:t>
            </w:r>
          </w:p>
        </w:tc>
      </w:tr>
      <w:tr>
        <w:tblPrEx>
          <w:tblCellMar>
            <w:top w:w="0" w:type="dxa"/>
            <w:left w:w="108" w:type="dxa"/>
            <w:bottom w:w="0" w:type="dxa"/>
            <w:right w:w="108" w:type="dxa"/>
          </w:tblCellMar>
        </w:tblPrEx>
        <w:trPr>
          <w:trHeight w:val="54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调研报告</w:t>
            </w:r>
          </w:p>
        </w:tc>
      </w:tr>
      <w:tr>
        <w:tblPrEx>
          <w:tblCellMar>
            <w:top w:w="0" w:type="dxa"/>
            <w:left w:w="108" w:type="dxa"/>
            <w:bottom w:w="0" w:type="dxa"/>
            <w:right w:w="108" w:type="dxa"/>
          </w:tblCellMar>
        </w:tblPrEx>
        <w:trPr>
          <w:trHeight w:val="54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立项申请、批复文件</w:t>
            </w:r>
          </w:p>
        </w:tc>
      </w:tr>
      <w:tr>
        <w:tblPrEx>
          <w:tblCellMar>
            <w:top w:w="0" w:type="dxa"/>
            <w:left w:w="108" w:type="dxa"/>
            <w:bottom w:w="0" w:type="dxa"/>
            <w:right w:w="108" w:type="dxa"/>
          </w:tblCellMar>
        </w:tblPrEx>
        <w:trPr>
          <w:trHeight w:val="91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项目目标（12%）</w:t>
            </w: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项目管理（20%）</w:t>
            </w: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投入管理（4%）</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r>
      <w:tr>
        <w:tblPrEx>
          <w:tblCellMar>
            <w:top w:w="0" w:type="dxa"/>
            <w:left w:w="108" w:type="dxa"/>
            <w:bottom w:w="0" w:type="dxa"/>
            <w:right w:w="108" w:type="dxa"/>
          </w:tblCellMar>
        </w:tblPrEx>
        <w:trPr>
          <w:trHeight w:val="81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预算调整文件</w:t>
            </w:r>
          </w:p>
        </w:tc>
      </w:tr>
      <w:tr>
        <w:tblPrEx>
          <w:tblCellMar>
            <w:top w:w="0" w:type="dxa"/>
            <w:left w:w="108" w:type="dxa"/>
            <w:bottom w:w="0" w:type="dxa"/>
            <w:right w:w="108" w:type="dxa"/>
          </w:tblCellMar>
        </w:tblPrEx>
        <w:trPr>
          <w:trHeight w:val="123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财务管理（6%）</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97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tblPrEx>
          <w:tblCellMar>
            <w:top w:w="0" w:type="dxa"/>
            <w:left w:w="108" w:type="dxa"/>
            <w:bottom w:w="0" w:type="dxa"/>
            <w:right w:w="108" w:type="dxa"/>
          </w:tblCellMar>
        </w:tblPrEx>
        <w:trPr>
          <w:trHeight w:val="7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tblPrEx>
          <w:tblCellMar>
            <w:top w:w="0" w:type="dxa"/>
            <w:left w:w="108" w:type="dxa"/>
            <w:bottom w:w="0" w:type="dxa"/>
            <w:right w:w="108" w:type="dxa"/>
          </w:tblCellMar>
        </w:tblPrEx>
        <w:trPr>
          <w:trHeight w:val="7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项目实施（10%）</w:t>
            </w: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r>
      <w:tr>
        <w:tblPrEx>
          <w:tblCellMar>
            <w:top w:w="0" w:type="dxa"/>
            <w:left w:w="108" w:type="dxa"/>
            <w:bottom w:w="0" w:type="dxa"/>
            <w:right w:w="108" w:type="dxa"/>
          </w:tblCellMar>
        </w:tblPrEx>
        <w:trPr>
          <w:trHeight w:val="88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jc w:val="center"/>
        </w:trPr>
        <w:tc>
          <w:tcPr>
            <w:tcW w:w="84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6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91"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972"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r>
      <w:tr>
        <w:tblPrEx>
          <w:tblCellMar>
            <w:top w:w="0" w:type="dxa"/>
            <w:left w:w="108" w:type="dxa"/>
            <w:bottom w:w="0" w:type="dxa"/>
            <w:right w:w="108" w:type="dxa"/>
          </w:tblCellMar>
        </w:tblPrEx>
        <w:trPr>
          <w:trHeight w:val="885"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6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91"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7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78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6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91"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97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2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38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6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91"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97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6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91"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97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1200"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项目绩效（60%）</w:t>
            </w: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项目产出（30%）</w:t>
            </w: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评选出“书香昆明”好书，指标值为4类51种</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评选好书，推动全民阅读。</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82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评选出最美阅读空间，指标值为5类53个</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评选最美阅读空间，推动昆明城市文化建设。</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54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项目产出（30%）</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质量指标</w:t>
            </w:r>
            <w:r>
              <w:rPr>
                <w:rFonts w:hint="eastAsia" w:ascii="宋体" w:hAnsi="宋体" w:cs="宋体"/>
                <w:b/>
                <w:bCs/>
                <w:color w:val="000000"/>
                <w:kern w:val="0"/>
                <w:sz w:val="18"/>
                <w:szCs w:val="18"/>
              </w:rPr>
              <w:t>　</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3月18日到7月14日第十届“书香昆明”全民阅读系列活动，包括五大板块百余项活动</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hint="eastAsia" w:ascii="宋体" w:hAnsi="宋体" w:cs="宋体"/>
                <w:color w:val="000000"/>
                <w:kern w:val="0"/>
                <w:sz w:val="18"/>
                <w:szCs w:val="18"/>
              </w:rPr>
              <w:t>10</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推进项目执行</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hint="eastAsia" w:ascii="宋体" w:hAnsi="宋体" w:cs="宋体"/>
                <w:color w:val="000000"/>
                <w:kern w:val="0"/>
                <w:sz w:val="18"/>
                <w:szCs w:val="18"/>
              </w:rPr>
              <w:t>符合相关要求，得满分；一项不符合，不得分。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54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效益指标</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社会效益指标</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通过活动满足人民文化需求，推动书香昆明建设于全民阅读。</w:t>
            </w:r>
          </w:p>
          <w:p>
            <w:pPr>
              <w:widowControl/>
              <w:jc w:val="left"/>
              <w:rPr>
                <w:rFonts w:hint="eastAsia" w:ascii="宋体" w:hAnsi="宋体" w:cs="宋体"/>
                <w:b/>
                <w:bCs/>
                <w:color w:val="000000"/>
                <w:kern w:val="0"/>
                <w:sz w:val="18"/>
                <w:szCs w:val="18"/>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考察与项目相关的合同是否有效执行。</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符合相关要求，得满分；一项不符合，不得分。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54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“书香昆明”全民阅读系列活动已经连续举办十年，形成较好的正面影响力。入选云南省公共文化服务高质量发展典型案例。</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9</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符合相关要求，得满分；一项不符合，扣相应分数。</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54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满意度</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指标（10%）</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服务对象及大众满意度较高</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r>
              <w:rPr>
                <w:rFonts w:hint="eastAsia" w:ascii="宋体" w:hAnsi="宋体" w:cs="宋体"/>
                <w:color w:val="000000"/>
                <w:kern w:val="0"/>
                <w:sz w:val="18"/>
                <w:szCs w:val="18"/>
              </w:rPr>
              <w:t>10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9</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考察与项目相关的合同是否有效执行。</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符合相关要求，得满分；一项不符合，扣相应分数。</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54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98</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000000"/>
                <w:kern w:val="0"/>
                <w:sz w:val="18"/>
                <w:szCs w:val="18"/>
              </w:rPr>
            </w:pPr>
          </w:p>
        </w:tc>
      </w:tr>
    </w:tbl>
    <w:p>
      <w:pPr>
        <w:pStyle w:val="2"/>
        <w:ind w:firstLine="0" w:firstLineChars="0"/>
        <w:rPr>
          <w:rFonts w:ascii="Times New Roman" w:hAnsi="Times New Roman"/>
        </w:rPr>
      </w:pPr>
    </w:p>
    <w:p>
      <w:pPr>
        <w:pStyle w:val="2"/>
        <w:ind w:firstLine="0" w:firstLineChars="0"/>
        <w:rPr>
          <w:rFonts w:ascii="Times New Roman" w:hAnsi="Times New Roman"/>
        </w:rPr>
      </w:pPr>
    </w:p>
    <w:p>
      <w:pPr>
        <w:spacing w:line="0" w:lineRule="atLeast"/>
        <w:jc w:val="center"/>
        <w:rPr>
          <w:rFonts w:eastAsia="方正小标宋简体"/>
          <w:bCs/>
          <w:sz w:val="44"/>
          <w:szCs w:val="32"/>
        </w:rPr>
      </w:pPr>
    </w:p>
    <w:p>
      <w:pPr>
        <w:pStyle w:val="2"/>
        <w:ind w:firstLine="0" w:firstLineChars="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项目十二</w:t>
      </w:r>
      <w:r>
        <w:rPr>
          <w:rFonts w:ascii="楷体_GB2312" w:hAnsi="Times New Roman" w:eastAsia="楷体_GB2312"/>
          <w:sz w:val="32"/>
          <w:szCs w:val="32"/>
          <w:lang w:eastAsia="zh-Hans"/>
        </w:rPr>
        <w:t>：</w:t>
      </w:r>
    </w:p>
    <w:p>
      <w:pPr>
        <w:spacing w:line="0" w:lineRule="atLeast"/>
        <w:ind w:firstLine="1320" w:firstLineChars="300"/>
        <w:rPr>
          <w:rFonts w:eastAsia="方正小标宋简体"/>
          <w:bCs/>
          <w:sz w:val="44"/>
          <w:szCs w:val="32"/>
        </w:rPr>
      </w:pPr>
      <w:r>
        <w:rPr>
          <w:rFonts w:hint="eastAsia" w:eastAsia="方正小标宋简体"/>
          <w:bCs/>
          <w:sz w:val="44"/>
          <w:szCs w:val="32"/>
        </w:rPr>
        <w:t>互联网新闻宣传和政务服务项目支出绩效自评打分表</w:t>
      </w:r>
    </w:p>
    <w:tbl>
      <w:tblPr>
        <w:tblStyle w:val="16"/>
        <w:tblpPr w:leftFromText="180" w:rightFromText="180" w:vertAnchor="text" w:horzAnchor="page" w:tblpX="1201" w:tblpY="383"/>
        <w:tblW w:w="10412" w:type="dxa"/>
        <w:tblInd w:w="0" w:type="dxa"/>
        <w:tblLayout w:type="fixed"/>
        <w:tblCellMar>
          <w:top w:w="0" w:type="dxa"/>
          <w:left w:w="108" w:type="dxa"/>
          <w:bottom w:w="0" w:type="dxa"/>
          <w:right w:w="108" w:type="dxa"/>
        </w:tblCellMar>
      </w:tblPr>
      <w:tblGrid>
        <w:gridCol w:w="846"/>
        <w:gridCol w:w="971"/>
        <w:gridCol w:w="1143"/>
        <w:gridCol w:w="1091"/>
        <w:gridCol w:w="499"/>
        <w:gridCol w:w="716"/>
        <w:gridCol w:w="1953"/>
        <w:gridCol w:w="1975"/>
        <w:gridCol w:w="1218"/>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3"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9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71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953"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975"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21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部门中长期规划目标</w:t>
            </w:r>
          </w:p>
        </w:tc>
      </w:tr>
      <w:tr>
        <w:tblPrEx>
          <w:tblCellMar>
            <w:top w:w="0" w:type="dxa"/>
            <w:left w:w="108" w:type="dxa"/>
            <w:bottom w:w="0" w:type="dxa"/>
            <w:right w:w="108" w:type="dxa"/>
          </w:tblCellMar>
        </w:tblPrEx>
        <w:trPr>
          <w:trHeight w:val="10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市政府相关规划、决策、批复</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部门职责文件</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调研报告</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立项申请、批复文件</w:t>
            </w:r>
          </w:p>
        </w:tc>
      </w:tr>
      <w:tr>
        <w:tblPrEx>
          <w:tblCellMar>
            <w:top w:w="0" w:type="dxa"/>
            <w:left w:w="108" w:type="dxa"/>
            <w:bottom w:w="0" w:type="dxa"/>
            <w:right w:w="108" w:type="dxa"/>
          </w:tblCellMar>
        </w:tblPrEx>
        <w:trPr>
          <w:trHeight w:val="9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2</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预算调整文件</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1</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975"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12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C11.数量指标</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C111.宣传习近平新时代中国特色社会主义思想</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突出做好习近平新时代中国特色社会主义思想宣传，紧紧围绕迎接、宣传、贯彻党的二十大这条主线，聚焦民族团结进步示范区、生态文明排头兵建设、面向南亚东南亚辐射中心等中心工作，积极宣传各地各部门学习贯彻习近平总书记考察云南重要讲话精神的实践成效。</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全部处理，得满分；每降低1%，扣权重的3%，扣完为止。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实际统计数据</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C112维护“中国昆明”政务网，发布政务公开信息</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做好“中国昆明”政务网主站建设维护，运行管理及栏目策划、内容组织、信息采编审核发布。</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全部及时处理，得满分；存在一次未及时处理的，扣权重的10%，扣完为止。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实际统计数据</w:t>
            </w:r>
          </w:p>
        </w:tc>
      </w:tr>
      <w:tr>
        <w:tblPrEx>
          <w:tblCellMar>
            <w:top w:w="0" w:type="dxa"/>
            <w:left w:w="108" w:type="dxa"/>
            <w:bottom w:w="0" w:type="dxa"/>
            <w:right w:w="108" w:type="dxa"/>
          </w:tblCellMar>
        </w:tblPrEx>
        <w:trPr>
          <w:trHeight w:val="8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C113..对省市重要中心工作、重点项目、热点话题开展宣传报道</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围绕中心、服务大局，抓好省市重要主题宣传和舆论引导。紧扣“党史学习教育”“省市两会”“脱贫攻坚”“乡村振兴”“教育改革”“生态治理”等主题开展宣传报道。</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全部合格，得满分；存在一次超标，扣权重的10%，扣完为止。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实际完成工作</w:t>
            </w:r>
          </w:p>
        </w:tc>
      </w:tr>
      <w:tr>
        <w:tblPrEx>
          <w:tblCellMar>
            <w:top w:w="0" w:type="dxa"/>
            <w:left w:w="108" w:type="dxa"/>
            <w:bottom w:w="0" w:type="dxa"/>
            <w:right w:w="108" w:type="dxa"/>
          </w:tblCellMar>
        </w:tblPrEx>
        <w:trPr>
          <w:trHeight w:val="70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C114.编发英文、缅文多语种稿件</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努力提升国际传播能力，通过开展“海外看昆滇”活动、“在昆外国人看昆明”系列访谈、“外国人话云南”短视频征集大赛等线上线下相结合的形式，对外讲好中国故事，展示良好的昆滇形象。</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全部合格，得满分；存在一日超标，扣权重的1%，扣完为止。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实际完成工作</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C12.质量指标</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C121.内容准确率</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坚持正确政治方向和舆论导向，始终用习近平新时代中国特色社会主义思想引领网站首页、首屏和头条。</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全部处置，得满分；每降低1%，扣权重的3%，扣完为止。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实际完成工作</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C122.内容发布及时性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kern w:val="0"/>
                <w:sz w:val="18"/>
                <w:szCs w:val="18"/>
              </w:rPr>
              <w:t>及时落实各级宣传指令，网上主旋律、正能量充盈，信息生产“零事故”。</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全部及时处置，得满分；存在一次未及时处置的扣权重的10%，扣完为止。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实际完成工作</w:t>
            </w:r>
          </w:p>
        </w:tc>
      </w:tr>
      <w:tr>
        <w:tblPrEx>
          <w:tblCellMar>
            <w:top w:w="0" w:type="dxa"/>
            <w:left w:w="108" w:type="dxa"/>
            <w:bottom w:w="0" w:type="dxa"/>
            <w:right w:w="108" w:type="dxa"/>
          </w:tblCellMar>
        </w:tblPrEx>
        <w:trPr>
          <w:trHeight w:val="27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C21.社会效益</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C211.坚持正确舆论导向，坚持正面宣传为主，为昆明社会经济发展营造良好舆论氛围</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坚决以“举旗帜 聚民心 育新人 兴文化 展形象”为指引，唱响主旋律、传播正能量，讲好昆滇故事，加快构建舆论引导新格局，打好新闻舆论工作主动仗。</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全部完成，得满分；存在一次不能满足的情况，扣权重的30%，扣完为止。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取得实际效益</w:t>
            </w:r>
          </w:p>
        </w:tc>
      </w:tr>
      <w:tr>
        <w:tblPrEx>
          <w:tblCellMar>
            <w:top w:w="0" w:type="dxa"/>
            <w:left w:w="108" w:type="dxa"/>
            <w:bottom w:w="0" w:type="dxa"/>
            <w:right w:w="108" w:type="dxa"/>
          </w:tblCellMar>
        </w:tblPrEx>
        <w:trPr>
          <w:trHeight w:val="23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kern w:val="0"/>
                <w:sz w:val="18"/>
                <w:szCs w:val="18"/>
              </w:rPr>
              <w:t>C22.满意度指标</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C221.服务对象满意度</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kern w:val="0"/>
                <w:sz w:val="18"/>
                <w:szCs w:val="18"/>
              </w:rPr>
              <w:t>2022年云南省国有影视企业社会效益评价考核为优秀。</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低于55%，得满分；每增加1%，扣权重的10%，扣完为止。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取得实际效益</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71"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98.5分</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Pr>
        <w:rPr>
          <w:rFonts w:ascii="方正小标宋_GBK" w:eastAsia="方正小标宋_GBK"/>
          <w:sz w:val="28"/>
          <w:szCs w:val="28"/>
        </w:rPr>
      </w:pPr>
    </w:p>
    <w:p>
      <w:pPr>
        <w:pStyle w:val="2"/>
        <w:ind w:firstLine="0" w:firstLineChars="0"/>
        <w:rPr>
          <w:rFonts w:ascii="Times New Roman" w:hAnsi="Times New Roman"/>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项目十三</w:t>
      </w:r>
      <w:r>
        <w:rPr>
          <w:rFonts w:ascii="楷体_GB2312" w:hAnsi="Times New Roman" w:eastAsia="楷体_GB2312"/>
          <w:sz w:val="32"/>
          <w:szCs w:val="32"/>
          <w:lang w:eastAsia="zh-Hans"/>
        </w:rPr>
        <w:t>：</w:t>
      </w:r>
    </w:p>
    <w:p>
      <w:pPr>
        <w:spacing w:line="0" w:lineRule="atLeast"/>
        <w:jc w:val="center"/>
        <w:rPr>
          <w:rFonts w:hint="eastAsia" w:eastAsia="方正小标宋简体"/>
          <w:bCs/>
          <w:sz w:val="44"/>
          <w:szCs w:val="32"/>
        </w:rPr>
      </w:pPr>
      <w:r>
        <w:rPr>
          <w:rFonts w:hint="eastAsia" w:eastAsia="方正小标宋简体"/>
          <w:bCs/>
          <w:sz w:val="44"/>
          <w:szCs w:val="32"/>
        </w:rPr>
        <w:t>省级人才发展专项资金项目绩效评分表</w:t>
      </w:r>
    </w:p>
    <w:tbl>
      <w:tblPr>
        <w:tblStyle w:val="16"/>
        <w:tblW w:w="0" w:type="auto"/>
        <w:jc w:val="center"/>
        <w:tblLayout w:type="fixed"/>
        <w:tblCellMar>
          <w:top w:w="0" w:type="dxa"/>
          <w:left w:w="108" w:type="dxa"/>
          <w:bottom w:w="0" w:type="dxa"/>
          <w:right w:w="108" w:type="dxa"/>
        </w:tblCellMar>
      </w:tblPr>
      <w:tblGrid>
        <w:gridCol w:w="846"/>
        <w:gridCol w:w="944"/>
        <w:gridCol w:w="1110"/>
        <w:gridCol w:w="1060"/>
        <w:gridCol w:w="489"/>
        <w:gridCol w:w="437"/>
        <w:gridCol w:w="2153"/>
        <w:gridCol w:w="2046"/>
        <w:gridCol w:w="1497"/>
        <w:gridCol w:w="743"/>
      </w:tblGrid>
      <w:tr>
        <w:tblPrEx>
          <w:tblCellMar>
            <w:top w:w="0" w:type="dxa"/>
            <w:left w:w="108" w:type="dxa"/>
            <w:bottom w:w="0" w:type="dxa"/>
            <w:right w:w="108" w:type="dxa"/>
          </w:tblCellMar>
        </w:tblPrEx>
        <w:trPr>
          <w:trHeight w:val="51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44"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60"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89"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437"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2153"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2046"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497"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c>
          <w:tcPr>
            <w:tcW w:w="743" w:type="dxa"/>
            <w:tcBorders>
              <w:top w:val="single" w:color="auto" w:sz="4" w:space="0"/>
              <w:left w:val="nil"/>
              <w:bottom w:val="single" w:color="auto" w:sz="4" w:space="0"/>
              <w:right w:val="single" w:color="auto" w:sz="4" w:space="0"/>
            </w:tcBorders>
            <w:noWrap w:val="0"/>
            <w:vAlign w:val="center"/>
          </w:tcPr>
          <w:p>
            <w:pPr>
              <w:widowControl/>
              <w:spacing w:line="0" w:lineRule="atLeast"/>
              <w:rPr>
                <w:rFonts w:hint="eastAsia" w:ascii="宋体" w:hAnsi="宋体" w:cs="宋体"/>
                <w:b/>
                <w:bCs/>
                <w:color w:val="000000"/>
                <w:kern w:val="0"/>
                <w:sz w:val="18"/>
                <w:szCs w:val="18"/>
              </w:rPr>
            </w:pPr>
          </w:p>
        </w:tc>
      </w:tr>
      <w:tr>
        <w:tblPrEx>
          <w:tblCellMar>
            <w:top w:w="0" w:type="dxa"/>
            <w:left w:w="108" w:type="dxa"/>
            <w:bottom w:w="0" w:type="dxa"/>
            <w:right w:w="108" w:type="dxa"/>
          </w:tblCellMar>
        </w:tblPrEx>
        <w:trPr>
          <w:trHeight w:val="862" w:hRule="atLeast"/>
          <w:jc w:val="center"/>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部门中长期规划目标</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005"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考察项目是否符合省市相关发展规划和政府决策</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市政府相关规划、决策、批复</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部门职责文件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调研报告</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立项申请、批复文件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76"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4"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9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61"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4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689" w:hRule="atLeast"/>
          <w:jc w:val="center"/>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预算调整文件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178"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34"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2</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183"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2046" w:type="dxa"/>
            <w:tcBorders>
              <w:top w:val="nil"/>
              <w:left w:val="nil"/>
              <w:bottom w:val="single" w:color="auto" w:sz="4" w:space="0"/>
              <w:right w:val="single" w:color="auto" w:sz="4" w:space="0"/>
            </w:tcBorders>
            <w:noWrap w:val="0"/>
            <w:vAlign w:val="top"/>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18"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18"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149"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34"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4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05"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4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合同、现场调查</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4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台账记录</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88" w:hRule="atLeast"/>
          <w:jc w:val="center"/>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C11.数量指标</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C111专著出版数量</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12　</w:t>
            </w:r>
          </w:p>
        </w:tc>
        <w:tc>
          <w:tcPr>
            <w:tcW w:w="2153" w:type="dxa"/>
            <w:tcBorders>
              <w:top w:val="nil"/>
              <w:left w:val="nil"/>
              <w:bottom w:val="single" w:color="auto" w:sz="4" w:space="0"/>
              <w:right w:val="single" w:color="auto" w:sz="4" w:space="0"/>
            </w:tcBorders>
            <w:noWrap w:val="0"/>
            <w:vAlign w:val="center"/>
          </w:tcPr>
          <w:p>
            <w:pPr>
              <w:widowControl/>
              <w:spacing w:line="0" w:lineRule="atLeast"/>
              <w:ind w:firstLine="180" w:firstLineChars="100"/>
              <w:rPr>
                <w:rFonts w:hint="eastAsia" w:ascii="宋体" w:hAnsi="宋体" w:cs="宋体"/>
                <w:color w:val="000000"/>
                <w:kern w:val="0"/>
                <w:sz w:val="18"/>
                <w:szCs w:val="18"/>
              </w:rPr>
            </w:pPr>
            <w:r>
              <w:rPr>
                <w:rFonts w:hint="eastAsia" w:ascii="宋体" w:hAnsi="宋体" w:cs="宋体"/>
                <w:color w:val="000000"/>
                <w:kern w:val="0"/>
                <w:sz w:val="18"/>
                <w:szCs w:val="18"/>
              </w:rPr>
              <w:t>考察专著出版数量</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出满3部得满分；每少出期，扣1分。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理论评论工作室工作台账</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9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C112.每本专著字数</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6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考察专著是否达到预订的20万字以上。</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达到20万字，得满分；每少一页扣0.1分，扣完为止。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理论评论工作室工作台账</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178"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C12.质量指标</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C121.差错率</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4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考察专著错差率不超过万分之三</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考察专著每1万文字，差错数量不多于3处，超过此标准的，每处扣0.1分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新闻出版总署《图书质量管理规定》</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4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C122.印刷质量</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4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考察专著印刷质量，印刷或装订不得出现明显瑕疵或差错</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无瑕疵或差错，得满分；存在一次扣1分，扣完为止。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《书刊印刷标准》</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C13.时效指标</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C131.专著使用效率</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考察平台是否迅速在一定时期内发挥使用效益</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及时完成，得满分；完成但不及时，得权重的50%；未完成，不得分。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使用情况报告</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r>
      <w:tr>
        <w:tblPrEx>
          <w:tblCellMar>
            <w:top w:w="0" w:type="dxa"/>
            <w:left w:w="108" w:type="dxa"/>
            <w:bottom w:w="0" w:type="dxa"/>
            <w:right w:w="108" w:type="dxa"/>
          </w:tblCellMar>
        </w:tblPrEx>
        <w:trPr>
          <w:trHeight w:val="339"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C21.社会效益</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C211.读者满意度</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15</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15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考察读者对专著内容、印刷、发行工作是否满意。</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全面无投诉得满分；存在一次投诉的情况，扣权重的30%，扣完为止。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深度访谈、课堂问询</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02"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C22.生态效益</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C221.专著印刷是否采用环保材料，达到环保要求</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15</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15</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考察专著印刷工作是否达到环保要求。</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达到环保要求得满分；每增加1%，如出现未使用环保材料的，每出现一次扣1分，扣完为止。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理论评论工作室工作台账</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4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97分</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b/>
                <w:bCs/>
                <w:color w:val="000000"/>
                <w:kern w:val="0"/>
                <w:sz w:val="18"/>
                <w:szCs w:val="18"/>
              </w:rPr>
            </w:pPr>
          </w:p>
        </w:tc>
      </w:tr>
    </w:tbl>
    <w:p>
      <w:pPr>
        <w:rPr>
          <w:rFonts w:ascii="方正小标宋_GBK" w:eastAsia="方正小标宋_GBK"/>
          <w:sz w:val="28"/>
          <w:szCs w:val="28"/>
        </w:rPr>
      </w:pPr>
    </w:p>
    <w:p/>
    <w:p>
      <w:pPr>
        <w:pStyle w:val="2"/>
        <w:ind w:firstLine="0" w:firstLineChars="0"/>
        <w:rPr>
          <w:rFonts w:hint="eastAsia" w:ascii="楷体_GB2312" w:hAnsi="Times New Roman" w:eastAsia="楷体_GB2312"/>
          <w:sz w:val="32"/>
          <w:szCs w:val="32"/>
          <w:lang w:eastAsia="zh-Hans"/>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楷体_GB2312" w:hAnsi="Times New Roman" w:eastAsia="楷体_GB2312"/>
          <w:sz w:val="32"/>
          <w:szCs w:val="32"/>
          <w:lang w:eastAsia="zh-Hans"/>
        </w:rPr>
      </w:pPr>
      <w:bookmarkStart w:id="0" w:name="_GoBack"/>
      <w:bookmarkEnd w:id="0"/>
      <w:r>
        <w:rPr>
          <w:rFonts w:hint="eastAsia" w:ascii="楷体_GB2312" w:hAnsi="Times New Roman" w:eastAsia="楷体_GB2312"/>
          <w:sz w:val="32"/>
          <w:szCs w:val="32"/>
          <w:lang w:eastAsia="zh-Hans"/>
        </w:rPr>
        <w:t>项目十四</w:t>
      </w:r>
      <w:r>
        <w:rPr>
          <w:rFonts w:ascii="楷体_GB2312" w:hAnsi="Times New Roman" w:eastAsia="楷体_GB2312"/>
          <w:sz w:val="32"/>
          <w:szCs w:val="32"/>
          <w:lang w:eastAsia="zh-Hans"/>
        </w:rPr>
        <w:t>：</w:t>
      </w:r>
    </w:p>
    <w:p>
      <w:pPr>
        <w:widowControl/>
        <w:jc w:val="center"/>
        <w:rPr>
          <w:rFonts w:ascii="方正小标宋_GBK" w:eastAsia="方正小标宋_GBK"/>
          <w:sz w:val="28"/>
          <w:szCs w:val="28"/>
        </w:rPr>
      </w:pPr>
      <w:r>
        <w:rPr>
          <w:rFonts w:hint="eastAsia" w:ascii="方正小标宋_GBK" w:eastAsia="方正小标宋_GBK"/>
          <w:sz w:val="28"/>
          <w:szCs w:val="28"/>
        </w:rPr>
        <w:t>2022年“砥砺奋进新征程 喜迎党的二十大</w:t>
      </w:r>
    </w:p>
    <w:p>
      <w:pPr>
        <w:widowControl/>
        <w:jc w:val="center"/>
        <w:rPr>
          <w:rFonts w:ascii="方正小标宋_GBK" w:eastAsia="方正小标宋_GBK"/>
          <w:sz w:val="28"/>
          <w:szCs w:val="28"/>
        </w:rPr>
      </w:pPr>
      <w:r>
        <w:rPr>
          <w:rFonts w:hint="eastAsia" w:ascii="方正小标宋_GBK" w:eastAsia="方正小标宋_GBK"/>
          <w:sz w:val="28"/>
          <w:szCs w:val="28"/>
        </w:rPr>
        <w:t>——党的创新理论我来讲”理论宣讲大赛初赛经费</w:t>
      </w:r>
    </w:p>
    <w:p>
      <w:pPr>
        <w:widowControl/>
        <w:jc w:val="center"/>
        <w:rPr>
          <w:rFonts w:ascii="方正小标宋_GBK" w:eastAsia="方正小标宋_GBK"/>
          <w:sz w:val="28"/>
          <w:szCs w:val="28"/>
        </w:rPr>
      </w:pPr>
      <w:r>
        <w:rPr>
          <w:rFonts w:hint="eastAsia" w:ascii="方正小标宋_GBK" w:eastAsia="方正小标宋_GBK"/>
          <w:sz w:val="28"/>
          <w:szCs w:val="28"/>
        </w:rPr>
        <w:t>项目支出绩效评价表</w:t>
      </w:r>
    </w:p>
    <w:tbl>
      <w:tblPr>
        <w:tblStyle w:val="16"/>
        <w:tblpPr w:leftFromText="180" w:rightFromText="180" w:vertAnchor="text" w:horzAnchor="page" w:tblpX="1201" w:tblpY="383"/>
        <w:tblW w:w="10412" w:type="dxa"/>
        <w:tblInd w:w="0" w:type="dxa"/>
        <w:tblLayout w:type="fixed"/>
        <w:tblCellMar>
          <w:top w:w="0" w:type="dxa"/>
          <w:left w:w="108" w:type="dxa"/>
          <w:bottom w:w="0" w:type="dxa"/>
          <w:right w:w="108" w:type="dxa"/>
        </w:tblCellMar>
      </w:tblPr>
      <w:tblGrid>
        <w:gridCol w:w="846"/>
        <w:gridCol w:w="970"/>
        <w:gridCol w:w="1142"/>
        <w:gridCol w:w="1069"/>
        <w:gridCol w:w="499"/>
        <w:gridCol w:w="575"/>
        <w:gridCol w:w="1863"/>
        <w:gridCol w:w="1803"/>
        <w:gridCol w:w="1645"/>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5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86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8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根据市宣传和社会事业工委《关于举办“砥砺奋进新征程 喜迎党的二十大——党的创新理论我来讲”理论宣讲大赛初赛活动的通知》</w:t>
            </w:r>
          </w:p>
        </w:tc>
      </w:tr>
      <w:tr>
        <w:tblPrEx>
          <w:tblCellMar>
            <w:top w:w="0" w:type="dxa"/>
            <w:left w:w="108" w:type="dxa"/>
            <w:bottom w:w="0" w:type="dxa"/>
            <w:right w:w="108" w:type="dxa"/>
          </w:tblCellMar>
        </w:tblPrEx>
        <w:trPr>
          <w:trHeight w:val="10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A121.与市宣工委相关规划、决策匹配性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考察项目是否符合市宣工委相关发展规划和政府决策</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根据市宣传和社会事业工委《关于举办“砥砺奋进新征程 喜迎党的二十大——党的创新理论我来讲”理论宣讲大赛初赛活动的通知》</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《关于举办“砥砺奋进新征程 喜迎党的二十大——党的创新理论我来讲”理论宣讲大赛初赛活动的通知》</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根据市宣传和社会事业工委《关于举办“砥砺奋进新征程 喜迎党的二十大——党的创新理论我来讲”理论宣讲大赛初赛活动的通知》</w:t>
            </w:r>
          </w:p>
        </w:tc>
      </w:tr>
      <w:tr>
        <w:tblPrEx>
          <w:tblCellMar>
            <w:top w:w="0" w:type="dxa"/>
            <w:left w:w="108" w:type="dxa"/>
            <w:bottom w:w="0" w:type="dxa"/>
            <w:right w:w="108" w:type="dxa"/>
          </w:tblCellMar>
        </w:tblPrEx>
        <w:trPr>
          <w:trHeight w:val="9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79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72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《关于举办“砥砺奋进新征程 喜迎党的二十大——党的创新理论我来讲”理论宣讲大赛初赛活动的通知》</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《项目申报绩效目标表》</w:t>
            </w:r>
          </w:p>
        </w:tc>
      </w:tr>
      <w:tr>
        <w:tblPrEx>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803" w:type="dxa"/>
            <w:tcBorders>
              <w:top w:val="nil"/>
              <w:left w:val="nil"/>
              <w:bottom w:val="single" w:color="auto" w:sz="4" w:space="0"/>
              <w:right w:val="single" w:color="auto" w:sz="4" w:space="0"/>
            </w:tcBorders>
            <w:noWrap w:val="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120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《关于举办“砥砺奋进新征程 喜迎党的二十大——党的创新理论我来讲”理论宣讲大赛初赛活动的通知》</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94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《财务审批管理制度》</w:t>
            </w:r>
          </w:p>
        </w:tc>
      </w:tr>
      <w:tr>
        <w:tblPrEx>
          <w:tblCellMar>
            <w:top w:w="0" w:type="dxa"/>
            <w:left w:w="108" w:type="dxa"/>
            <w:bottom w:w="0" w:type="dxa"/>
            <w:right w:w="108" w:type="dxa"/>
          </w:tblCellMar>
        </w:tblPrEx>
        <w:trPr>
          <w:trHeight w:val="1147"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C11.项目产出</w:t>
            </w:r>
          </w:p>
        </w:tc>
        <w:tc>
          <w:tcPr>
            <w:tcW w:w="1069" w:type="dxa"/>
            <w:tcBorders>
              <w:top w:val="nil"/>
              <w:left w:val="nil"/>
              <w:bottom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C111.比赛评委老师</w:t>
            </w:r>
          </w:p>
        </w:tc>
        <w:tc>
          <w:tcPr>
            <w:tcW w:w="499" w:type="dxa"/>
            <w:tcBorders>
              <w:top w:val="nil"/>
              <w:left w:val="nil"/>
              <w:bottom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8</w:t>
            </w:r>
          </w:p>
        </w:tc>
        <w:tc>
          <w:tcPr>
            <w:tcW w:w="575" w:type="dxa"/>
            <w:tcBorders>
              <w:top w:val="nil"/>
              <w:left w:val="nil"/>
              <w:bottom w:val="nil"/>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8　</w:t>
            </w:r>
          </w:p>
        </w:tc>
        <w:tc>
          <w:tcPr>
            <w:tcW w:w="1863" w:type="dxa"/>
            <w:tcBorders>
              <w:top w:val="nil"/>
              <w:left w:val="nil"/>
              <w:bottom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是否符合《关于举办“砥砺奋进新征程 喜迎党的二十大——党的创新理论我来讲”理论宣讲大赛初赛活动的通知》要求设定</w:t>
            </w:r>
          </w:p>
        </w:tc>
        <w:tc>
          <w:tcPr>
            <w:tcW w:w="1803" w:type="dxa"/>
            <w:tcBorders>
              <w:top w:val="nil"/>
              <w:left w:val="nil"/>
              <w:bottom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C112.比赛天数</w:t>
            </w:r>
          </w:p>
        </w:tc>
        <w:tc>
          <w:tcPr>
            <w:tcW w:w="499" w:type="dxa"/>
            <w:tcBorders>
              <w:top w:val="nil"/>
              <w:left w:val="nil"/>
              <w:bottom w:val="nil"/>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575" w:type="dxa"/>
            <w:tcBorders>
              <w:top w:val="nil"/>
              <w:left w:val="nil"/>
              <w:bottom w:val="nil"/>
              <w:right w:val="single" w:color="auto" w:sz="4" w:space="0"/>
            </w:tcBorders>
            <w:noWrap w:val="0"/>
            <w:vAlign w:val="center"/>
          </w:tcPr>
          <w:p>
            <w:pPr>
              <w:widowControl/>
              <w:rPr>
                <w:rFonts w:ascii="宋体" w:hAns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　</w:t>
            </w:r>
          </w:p>
        </w:tc>
        <w:tc>
          <w:tcPr>
            <w:tcW w:w="1863" w:type="dxa"/>
            <w:tcBorders>
              <w:top w:val="nil"/>
              <w:left w:val="nil"/>
              <w:bottom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是否符合《关于举办“砥砺奋进新征程 喜迎党的二十大——党的创新理论我来讲”理论宣讲大赛初赛活动的通知》要求设定</w:t>
            </w:r>
          </w:p>
        </w:tc>
        <w:tc>
          <w:tcPr>
            <w:tcW w:w="1803" w:type="dxa"/>
            <w:tcBorders>
              <w:top w:val="nil"/>
              <w:left w:val="nil"/>
              <w:bottom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符合，得满分；基本符合，得80%；不符合，不得分。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55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C112.宣讲比赛宣传报道</w:t>
            </w:r>
          </w:p>
        </w:tc>
        <w:tc>
          <w:tcPr>
            <w:tcW w:w="499" w:type="dxa"/>
            <w:tcBorders>
              <w:top w:val="nil"/>
              <w:left w:val="nil"/>
              <w:bottom w:val="nil"/>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575" w:type="dxa"/>
            <w:tcBorders>
              <w:top w:val="nil"/>
              <w:left w:val="nil"/>
              <w:bottom w:val="nil"/>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863" w:type="dxa"/>
            <w:tcBorders>
              <w:top w:val="nil"/>
              <w:left w:val="nil"/>
              <w:bottom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是否符合《关于举办“砥砺奋进新征程 喜迎党的二十大——党的创新理论我来讲”理论宣讲大赛初赛活动的通知》要求设定</w:t>
            </w:r>
          </w:p>
        </w:tc>
        <w:tc>
          <w:tcPr>
            <w:tcW w:w="1803" w:type="dxa"/>
            <w:tcBorders>
              <w:top w:val="nil"/>
              <w:left w:val="nil"/>
              <w:bottom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符合，得满分；基本符合，得80%；不符合，不得分。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tcBorders>
              <w:top w:val="nil"/>
              <w:left w:val="single" w:color="auto" w:sz="4" w:space="0"/>
              <w:bottom w:val="nil"/>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C12.项目质量</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C121.活动背景及舞台设计制作</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是否符合《关于举办“砥砺奋进新征程 喜迎党的二十大——党的创新理论我来讲”理论宣讲大赛初赛活动的通知》要求设定</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27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42" w:type="dxa"/>
            <w:vMerge w:val="restart"/>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C21.项目效益指标</w:t>
            </w: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C211.社会效益指标</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6</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6</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是否符合市宣传和社会事业工委《关于举办“砥砺奋进新征程 喜迎党的二十大——党的创新理论我来讲”理论宣讲大赛初赛活动的通知》</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23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9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p>
        </w:tc>
        <w:tc>
          <w:tcPr>
            <w:tcW w:w="1142"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C221.可持续影响效益指标</w:t>
            </w:r>
          </w:p>
        </w:tc>
        <w:tc>
          <w:tcPr>
            <w:tcW w:w="4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　</w:t>
            </w:r>
          </w:p>
        </w:tc>
        <w:tc>
          <w:tcPr>
            <w:tcW w:w="186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是否符合市宣传和社会事业工委《关于举办“砥砺奋进新征程 喜迎党的二十大——党的创新理论我来讲”理论宣讲大赛初赛活动的通知》</w:t>
            </w:r>
          </w:p>
        </w:tc>
        <w:tc>
          <w:tcPr>
            <w:tcW w:w="18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符合，得满分；基本符合，得50%；不符合，不得分。</w:t>
            </w:r>
          </w:p>
        </w:tc>
        <w:tc>
          <w:tcPr>
            <w:tcW w:w="164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bl>
    <w:p>
      <w:pPr>
        <w:pStyle w:val="2"/>
        <w:ind w:firstLine="0" w:firstLineChars="0"/>
        <w:rPr>
          <w:rFonts w:hint="eastAsia" w:ascii="楷体_GB2312" w:hAnsi="Times New Roman" w:eastAsia="楷体_GB2312"/>
          <w:sz w:val="32"/>
          <w:szCs w:val="32"/>
          <w:lang w:eastAsia="zh-Hans"/>
        </w:rPr>
      </w:pPr>
    </w:p>
    <w:p>
      <w:pPr>
        <w:spacing w:line="600" w:lineRule="exact"/>
        <w:ind w:firstLine="640" w:firstLineChars="200"/>
        <w:jc w:val="both"/>
        <w:rPr>
          <w:rFonts w:hint="default" w:ascii="仿宋" w:hAnsi="仿宋" w:eastAsia="仿宋" w:cs="仿宋"/>
          <w:sz w:val="32"/>
          <w:szCs w:val="32"/>
        </w:rPr>
      </w:pPr>
    </w:p>
    <w:p>
      <w:pPr>
        <w:pStyle w:val="71"/>
        <w:shd w:val="clear" w:color="auto" w:fill="FFFFFF"/>
        <w:spacing w:line="590" w:lineRule="atLeast"/>
        <w:ind w:firstLine="600"/>
        <w:jc w:val="both"/>
        <w:rPr>
          <w:rFonts w:hint="default" w:cs="宋体"/>
          <w:shd w:val="clear" w:color="auto" w:fill="FFFFFF"/>
        </w:rPr>
      </w:pPr>
      <w:r>
        <w:rPr>
          <w:rFonts w:cs="宋体"/>
          <w:shd w:val="clear" w:color="auto" w:fill="FFFFFF"/>
        </w:rPr>
        <w:t xml:space="preserve"> </w:t>
      </w:r>
    </w:p>
    <w:p>
      <w:pPr>
        <w:pStyle w:val="71"/>
        <w:shd w:val="clear" w:color="auto" w:fill="FFFFFF"/>
        <w:spacing w:line="590" w:lineRule="atLeast"/>
        <w:ind w:firstLine="600"/>
        <w:jc w:val="both"/>
        <w:rPr>
          <w:rFonts w:hint="default" w:cs="宋体"/>
        </w:rPr>
      </w:pPr>
      <w:r>
        <w:rPr>
          <w:rFonts w:cs="宋体"/>
          <w:shd w:val="clear" w:color="auto" w:fill="FFFFFF"/>
        </w:rPr>
        <w:t xml:space="preserve"> </w:t>
      </w:r>
    </w:p>
    <w:sectPr>
      <w:pgSz w:w="11915" w:h="16840"/>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998157"/>
      <w:docPartObj>
        <w:docPartGallery w:val="autotext"/>
      </w:docPartObj>
    </w:sdtPr>
    <w:sdtContent>
      <w:p>
        <w:pPr>
          <w:pStyle w:val="11"/>
          <w:jc w:val="center"/>
        </w:pPr>
        <w:r>
          <w:fldChar w:fldCharType="begin"/>
        </w:r>
        <w:r>
          <w:instrText xml:space="preserve">PAGE   \* MERGEFORMAT</w:instrText>
        </w:r>
        <w:r>
          <w:fldChar w:fldCharType="separate"/>
        </w:r>
        <w:r>
          <w:rPr>
            <w:rFonts w:hint="default"/>
            <w:lang w:val="zh-CN"/>
          </w:rPr>
          <w:t>1</w:t>
        </w:r>
        <w:r>
          <w:fldChar w:fldCharType="end"/>
        </w:r>
      </w:p>
    </w:sdtContent>
  </w:sdt>
  <w:p>
    <w:pPr>
      <w:pStyle w:val="11"/>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3F34B8"/>
    <w:multiLevelType w:val="multilevel"/>
    <w:tmpl w:val="7D3F34B8"/>
    <w:lvl w:ilvl="0" w:tentative="0">
      <w:start w:val="3"/>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3ZTMyMjg3M2ZhMzBiYjc5ZmZhMjgzNmRlYWZiMDkifQ=="/>
  </w:docVars>
  <w:rsids>
    <w:rsidRoot w:val="00425BC6"/>
    <w:rsid w:val="00056B08"/>
    <w:rsid w:val="00193341"/>
    <w:rsid w:val="00295D8A"/>
    <w:rsid w:val="003158FE"/>
    <w:rsid w:val="003426E2"/>
    <w:rsid w:val="003F2B51"/>
    <w:rsid w:val="00425BC6"/>
    <w:rsid w:val="00963543"/>
    <w:rsid w:val="009C75B3"/>
    <w:rsid w:val="00AA6007"/>
    <w:rsid w:val="00B77B8B"/>
    <w:rsid w:val="00CE47C9"/>
    <w:rsid w:val="00E0344C"/>
    <w:rsid w:val="10794D0D"/>
    <w:rsid w:val="2CD25A7F"/>
    <w:rsid w:val="41EE6D02"/>
    <w:rsid w:val="44390E1D"/>
    <w:rsid w:val="48674EE0"/>
    <w:rsid w:val="4B167643"/>
    <w:rsid w:val="6A7C70E4"/>
    <w:rsid w:val="6BC709F0"/>
    <w:rsid w:val="702D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unhideWhenUsed/>
    <w:qFormat/>
    <w:uiPriority w:val="99"/>
    <w:rPr>
      <w:rFonts w:hint="eastAsia" w:ascii="宋体" w:hAnsi="宋体" w:eastAsia="宋体" w:cs="Times New Roman"/>
      <w:sz w:val="24"/>
      <w:szCs w:val="24"/>
      <w:lang w:val="en-US" w:eastAsia="zh-CN" w:bidi="ar-SA"/>
    </w:rPr>
  </w:style>
  <w:style w:type="paragraph" w:styleId="3">
    <w:name w:val="heading 1"/>
    <w:basedOn w:val="1"/>
    <w:next w:val="1"/>
    <w:qFormat/>
    <w:uiPriority w:val="0"/>
    <w:pPr>
      <w:keepNext/>
      <w:keepLines/>
      <w:widowControl w:val="0"/>
      <w:spacing w:before="340" w:after="330" w:line="576" w:lineRule="auto"/>
      <w:jc w:val="both"/>
      <w:outlineLvl w:val="0"/>
    </w:pPr>
    <w:rPr>
      <w:rFonts w:hint="default" w:ascii="Times New Roman" w:hAnsi="Times New Roman"/>
      <w:b/>
      <w:kern w:val="44"/>
      <w:sz w:val="44"/>
      <w:szCs w:val="44"/>
    </w:rPr>
  </w:style>
  <w:style w:type="paragraph" w:styleId="4">
    <w:name w:val="heading 2"/>
    <w:basedOn w:val="1"/>
    <w:next w:val="1"/>
    <w:qFormat/>
    <w:uiPriority w:val="0"/>
    <w:pPr>
      <w:keepNext/>
      <w:keepLines/>
      <w:widowControl w:val="0"/>
      <w:spacing w:before="260" w:after="260" w:line="408" w:lineRule="auto"/>
      <w:jc w:val="both"/>
      <w:outlineLvl w:val="1"/>
    </w:pPr>
    <w:rPr>
      <w:rFonts w:hint="default" w:ascii="Cambria" w:hAnsi="Cambria"/>
      <w:b/>
      <w:kern w:val="2"/>
      <w:sz w:val="32"/>
      <w:szCs w:val="32"/>
    </w:rPr>
  </w:style>
  <w:style w:type="paragraph" w:styleId="5">
    <w:name w:val="heading 3"/>
    <w:basedOn w:val="1"/>
    <w:next w:val="1"/>
    <w:qFormat/>
    <w:uiPriority w:val="0"/>
    <w:pPr>
      <w:keepNext/>
      <w:keepLines/>
      <w:widowControl w:val="0"/>
      <w:spacing w:before="260" w:after="260" w:line="408" w:lineRule="auto"/>
      <w:jc w:val="both"/>
      <w:outlineLvl w:val="2"/>
    </w:pPr>
    <w:rPr>
      <w:rFonts w:hint="default" w:ascii="Times New Roman" w:hAnsi="Times New Roman"/>
      <w:b/>
      <w:kern w:val="2"/>
      <w:sz w:val="32"/>
      <w:szCs w:val="32"/>
    </w:rPr>
  </w:style>
  <w:style w:type="paragraph" w:styleId="6">
    <w:name w:val="heading 4"/>
    <w:basedOn w:val="1"/>
    <w:next w:val="1"/>
    <w:qFormat/>
    <w:uiPriority w:val="9"/>
    <w:pPr>
      <w:spacing w:beforeAutospacing="1" w:afterAutospacing="1"/>
      <w:outlineLvl w:val="3"/>
    </w:pPr>
    <w:rPr>
      <w:b/>
    </w:rPr>
  </w:style>
  <w:style w:type="paragraph" w:styleId="7">
    <w:name w:val="heading 5"/>
    <w:basedOn w:val="1"/>
    <w:next w:val="1"/>
    <w:qFormat/>
    <w:uiPriority w:val="9"/>
    <w:pPr>
      <w:spacing w:beforeAutospacing="1" w:afterAutospacing="1"/>
      <w:outlineLvl w:val="4"/>
    </w:pPr>
    <w:rPr>
      <w:b/>
      <w:sz w:val="20"/>
      <w:szCs w:val="20"/>
    </w:rPr>
  </w:style>
  <w:style w:type="paragraph" w:styleId="8">
    <w:name w:val="heading 6"/>
    <w:basedOn w:val="1"/>
    <w:next w:val="1"/>
    <w:qFormat/>
    <w:uiPriority w:val="9"/>
    <w:pPr>
      <w:spacing w:beforeAutospacing="1" w:afterAutospacing="1"/>
      <w:outlineLvl w:val="5"/>
    </w:pPr>
    <w:rPr>
      <w:b/>
      <w:sz w:val="15"/>
      <w:szCs w:val="15"/>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hint="default" w:ascii="Times New Roman" w:hAnsi="Times New Roman"/>
      <w:kern w:val="2"/>
      <w:sz w:val="21"/>
      <w:szCs w:val="21"/>
    </w:rPr>
  </w:style>
  <w:style w:type="paragraph" w:styleId="9">
    <w:name w:val="Body Text"/>
    <w:basedOn w:val="1"/>
    <w:qFormat/>
    <w:uiPriority w:val="0"/>
    <w:pPr>
      <w:widowControl w:val="0"/>
      <w:jc w:val="center"/>
    </w:pPr>
    <w:rPr>
      <w:rFonts w:hint="default" w:ascii="Calibri" w:hAnsi="Calibri" w:eastAsia="方正大标宋简体"/>
      <w:color w:val="FF0000"/>
      <w:sz w:val="36"/>
      <w:szCs w:val="36"/>
    </w:rPr>
  </w:style>
  <w:style w:type="paragraph" w:styleId="10">
    <w:name w:val="Balloon Text"/>
    <w:basedOn w:val="1"/>
    <w:qFormat/>
    <w:uiPriority w:val="0"/>
    <w:pPr>
      <w:widowControl w:val="0"/>
      <w:jc w:val="both"/>
    </w:pPr>
    <w:rPr>
      <w:rFonts w:hint="default" w:ascii="Times New Roman" w:hAnsi="Times New Roman"/>
      <w:kern w:val="2"/>
      <w:sz w:val="18"/>
      <w:szCs w:val="18"/>
    </w:rPr>
  </w:style>
  <w:style w:type="paragraph" w:styleId="11">
    <w:name w:val="footer"/>
    <w:basedOn w:val="1"/>
    <w:link w:val="75"/>
    <w:qFormat/>
    <w:uiPriority w:val="99"/>
    <w:pPr>
      <w:snapToGrid w:val="0"/>
    </w:pPr>
    <w:rPr>
      <w:sz w:val="18"/>
      <w:szCs w:val="18"/>
    </w:rPr>
  </w:style>
  <w:style w:type="paragraph" w:styleId="12">
    <w:name w:val="header"/>
    <w:basedOn w:val="1"/>
    <w:qFormat/>
    <w:uiPriority w:val="0"/>
    <w:pPr>
      <w:pBdr>
        <w:bottom w:val="single" w:color="auto" w:sz="6" w:space="1"/>
      </w:pBdr>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default" w:ascii="Courier New" w:hAnsi="Courier New"/>
      <w:sz w:val="20"/>
      <w:szCs w:val="20"/>
    </w:rPr>
  </w:style>
  <w:style w:type="paragraph" w:styleId="14">
    <w:name w:val="Normal (Web)"/>
    <w:basedOn w:val="1"/>
    <w:qFormat/>
    <w:uiPriority w:val="0"/>
    <w:pPr>
      <w:spacing w:beforeAutospacing="1" w:afterAutospacing="1"/>
    </w:pPr>
    <w:rPr>
      <w:rFonts w:hint="default" w:ascii="Calibri" w:hAnsi="Calibri"/>
    </w:rPr>
  </w:style>
  <w:style w:type="paragraph" w:styleId="15">
    <w:name w:val="Title"/>
    <w:basedOn w:val="1"/>
    <w:next w:val="1"/>
    <w:qFormat/>
    <w:uiPriority w:val="0"/>
    <w:pPr>
      <w:widowControl w:val="0"/>
      <w:spacing w:before="240" w:after="60"/>
      <w:jc w:val="center"/>
    </w:pPr>
    <w:rPr>
      <w:rFonts w:hint="default" w:ascii="Calibri Light" w:hAnsi="Calibri Light"/>
      <w:b/>
      <w:kern w:val="2"/>
      <w:sz w:val="32"/>
      <w:szCs w:val="32"/>
    </w:rPr>
  </w:style>
  <w:style w:type="table" w:styleId="17">
    <w:name w:val="Table Grid"/>
    <w:basedOn w:val="1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9">
    <w:name w:val="51"/>
    <w:basedOn w:val="18"/>
    <w:qFormat/>
    <w:uiPriority w:val="0"/>
    <w:rPr>
      <w:rFonts w:hint="eastAsia" w:ascii="宋体" w:hAnsi="宋体" w:eastAsia="宋体" w:cs="宋体"/>
      <w:b/>
      <w:sz w:val="32"/>
      <w:szCs w:val="32"/>
    </w:rPr>
  </w:style>
  <w:style w:type="character" w:customStyle="1" w:styleId="20">
    <w:name w:val="20"/>
    <w:basedOn w:val="18"/>
    <w:qFormat/>
    <w:uiPriority w:val="0"/>
    <w:rPr>
      <w:rFonts w:hint="default" w:ascii="Calibri Light" w:hAnsi="Calibri Light" w:eastAsia="宋体" w:cs="Times New Roman"/>
      <w:b/>
      <w:sz w:val="28"/>
      <w:szCs w:val="28"/>
    </w:rPr>
  </w:style>
  <w:style w:type="character" w:customStyle="1" w:styleId="21">
    <w:name w:val="46"/>
    <w:basedOn w:val="18"/>
    <w:qFormat/>
    <w:uiPriority w:val="0"/>
    <w:rPr>
      <w:rFonts w:hint="default" w:ascii="Times New Roman" w:hAnsi="Times New Roman" w:cs="Times New Roman"/>
    </w:rPr>
  </w:style>
  <w:style w:type="character" w:customStyle="1" w:styleId="22">
    <w:name w:val="55"/>
    <w:basedOn w:val="18"/>
    <w:qFormat/>
    <w:uiPriority w:val="0"/>
    <w:rPr>
      <w:rFonts w:hint="eastAsia" w:ascii="宋体" w:hAnsi="宋体" w:eastAsia="宋体" w:cs="宋体"/>
      <w:sz w:val="18"/>
      <w:szCs w:val="18"/>
    </w:rPr>
  </w:style>
  <w:style w:type="paragraph" w:customStyle="1" w:styleId="23">
    <w:name w:val="正文 sosopeng"/>
    <w:basedOn w:val="1"/>
    <w:qFormat/>
    <w:uiPriority w:val="0"/>
    <w:pPr>
      <w:widowControl w:val="0"/>
      <w:shd w:val="clear" w:color="auto" w:fill="FFFFFF"/>
      <w:ind w:firstLine="200" w:firstLineChars="200"/>
      <w:jc w:val="both"/>
    </w:pPr>
    <w:rPr>
      <w:rFonts w:hint="default" w:ascii="Calibri" w:hAnsi="Calibri"/>
      <w:color w:val="000000"/>
      <w:kern w:val="2"/>
    </w:rPr>
  </w:style>
  <w:style w:type="character" w:customStyle="1" w:styleId="24">
    <w:name w:val="49"/>
    <w:basedOn w:val="18"/>
    <w:qFormat/>
    <w:uiPriority w:val="0"/>
    <w:rPr>
      <w:rFonts w:hint="eastAsia" w:ascii="宋体" w:hAnsi="宋体" w:eastAsia="宋体" w:cs="宋体"/>
      <w:sz w:val="24"/>
      <w:szCs w:val="24"/>
    </w:rPr>
  </w:style>
  <w:style w:type="character" w:customStyle="1" w:styleId="25">
    <w:name w:val="42"/>
    <w:basedOn w:val="18"/>
    <w:qFormat/>
    <w:uiPriority w:val="0"/>
    <w:rPr>
      <w:rFonts w:hint="eastAsia" w:ascii="宋体" w:hAnsi="宋体" w:eastAsia="宋体" w:cs="宋体"/>
      <w:sz w:val="18"/>
      <w:szCs w:val="18"/>
    </w:rPr>
  </w:style>
  <w:style w:type="character" w:customStyle="1" w:styleId="26">
    <w:name w:val="39"/>
    <w:basedOn w:val="18"/>
    <w:qFormat/>
    <w:uiPriority w:val="0"/>
    <w:rPr>
      <w:rFonts w:hint="eastAsia" w:ascii="宋体" w:hAnsi="宋体" w:eastAsia="宋体" w:cs="宋体"/>
      <w:b/>
      <w:kern w:val="44"/>
      <w:sz w:val="44"/>
      <w:szCs w:val="44"/>
    </w:rPr>
  </w:style>
  <w:style w:type="character" w:customStyle="1" w:styleId="27">
    <w:name w:val="28"/>
    <w:basedOn w:val="18"/>
    <w:qFormat/>
    <w:uiPriority w:val="0"/>
    <w:rPr>
      <w:rFonts w:hint="default" w:ascii="Times New Roman" w:hAnsi="Times New Roman" w:cs="Times New Roman"/>
    </w:rPr>
  </w:style>
  <w:style w:type="character" w:customStyle="1" w:styleId="28">
    <w:name w:val="38"/>
    <w:basedOn w:val="18"/>
    <w:qFormat/>
    <w:uiPriority w:val="0"/>
    <w:rPr>
      <w:rFonts w:hint="eastAsia" w:ascii="宋体" w:hAnsi="宋体" w:eastAsia="宋体" w:cs="宋体"/>
      <w:b/>
      <w:kern w:val="44"/>
      <w:sz w:val="44"/>
      <w:szCs w:val="44"/>
    </w:rPr>
  </w:style>
  <w:style w:type="character" w:customStyle="1" w:styleId="29">
    <w:name w:val="23"/>
    <w:basedOn w:val="18"/>
    <w:qFormat/>
    <w:uiPriority w:val="0"/>
    <w:rPr>
      <w:rFonts w:hint="default" w:ascii="Times New Roman" w:hAnsi="Times New Roman" w:eastAsia="宋体" w:cs="Times New Roman"/>
      <w:i/>
    </w:rPr>
  </w:style>
  <w:style w:type="character" w:customStyle="1" w:styleId="30">
    <w:name w:val="41"/>
    <w:basedOn w:val="18"/>
    <w:qFormat/>
    <w:uiPriority w:val="0"/>
    <w:rPr>
      <w:rFonts w:hint="default" w:ascii="Calibri Light" w:hAnsi="Calibri Light" w:eastAsia="宋体" w:cs="Times New Roman"/>
      <w:b/>
      <w:sz w:val="32"/>
      <w:szCs w:val="32"/>
    </w:rPr>
  </w:style>
  <w:style w:type="character" w:customStyle="1" w:styleId="31">
    <w:name w:val="35"/>
    <w:basedOn w:val="18"/>
    <w:qFormat/>
    <w:uiPriority w:val="0"/>
    <w:rPr>
      <w:rFonts w:hint="default" w:ascii="Times New Roman" w:hAnsi="Times New Roman" w:cs="Times New Roman"/>
    </w:rPr>
  </w:style>
  <w:style w:type="character" w:customStyle="1" w:styleId="32">
    <w:name w:val="52"/>
    <w:basedOn w:val="18"/>
    <w:qFormat/>
    <w:uiPriority w:val="0"/>
    <w:rPr>
      <w:rFonts w:hint="eastAsia" w:ascii="宋体" w:hAnsi="宋体" w:eastAsia="宋体" w:cs="宋体"/>
      <w:sz w:val="18"/>
      <w:szCs w:val="18"/>
    </w:rPr>
  </w:style>
  <w:style w:type="character" w:customStyle="1" w:styleId="33">
    <w:name w:val="10"/>
    <w:basedOn w:val="18"/>
    <w:qFormat/>
    <w:uiPriority w:val="0"/>
    <w:rPr>
      <w:rFonts w:hint="default" w:ascii="Times New Roman" w:hAnsi="Times New Roman" w:cs="Times New Roman"/>
    </w:rPr>
  </w:style>
  <w:style w:type="character" w:customStyle="1" w:styleId="34">
    <w:name w:val="15"/>
    <w:basedOn w:val="18"/>
    <w:qFormat/>
    <w:uiPriority w:val="0"/>
    <w:rPr>
      <w:rFonts w:hint="eastAsia" w:ascii="宋体" w:hAnsi="宋体" w:eastAsia="宋体" w:cs="宋体"/>
      <w:sz w:val="18"/>
      <w:szCs w:val="18"/>
    </w:rPr>
  </w:style>
  <w:style w:type="character" w:customStyle="1" w:styleId="35">
    <w:name w:val="43"/>
    <w:basedOn w:val="18"/>
    <w:qFormat/>
    <w:uiPriority w:val="0"/>
    <w:rPr>
      <w:rFonts w:hint="default" w:ascii="Calibri Light" w:hAnsi="Calibri Light" w:eastAsia="宋体" w:cs="Times New Roman"/>
      <w:b/>
      <w:sz w:val="24"/>
      <w:szCs w:val="24"/>
    </w:rPr>
  </w:style>
  <w:style w:type="character" w:customStyle="1" w:styleId="36">
    <w:name w:val="45"/>
    <w:basedOn w:val="18"/>
    <w:qFormat/>
    <w:uiPriority w:val="0"/>
    <w:rPr>
      <w:rFonts w:hint="eastAsia" w:ascii="宋体" w:hAnsi="宋体" w:eastAsia="宋体" w:cs="宋体"/>
      <w:sz w:val="18"/>
      <w:szCs w:val="18"/>
    </w:rPr>
  </w:style>
  <w:style w:type="character" w:customStyle="1" w:styleId="37">
    <w:name w:val="16"/>
    <w:basedOn w:val="18"/>
    <w:qFormat/>
    <w:uiPriority w:val="0"/>
    <w:rPr>
      <w:rFonts w:hint="default" w:ascii="Times New Roman" w:hAnsi="Times New Roman" w:cs="Times New Roman"/>
    </w:rPr>
  </w:style>
  <w:style w:type="character" w:customStyle="1" w:styleId="38">
    <w:name w:val="17"/>
    <w:basedOn w:val="18"/>
    <w:qFormat/>
    <w:uiPriority w:val="0"/>
    <w:rPr>
      <w:rFonts w:hint="default" w:ascii="Cambria" w:hAnsi="Cambria" w:eastAsia="宋体" w:cs="Cambria"/>
      <w:b/>
      <w:kern w:val="2"/>
      <w:sz w:val="32"/>
      <w:szCs w:val="32"/>
    </w:rPr>
  </w:style>
  <w:style w:type="paragraph" w:customStyle="1" w:styleId="39">
    <w:name w:val="HTML 预设格式 Char1"/>
    <w:basedOn w:val="1"/>
    <w:qFormat/>
    <w:uiPriority w:val="0"/>
    <w:rPr>
      <w:rFonts w:hint="default" w:ascii="Courier New" w:hAnsi="Courier New"/>
      <w:sz w:val="20"/>
      <w:szCs w:val="20"/>
    </w:rPr>
  </w:style>
  <w:style w:type="character" w:customStyle="1" w:styleId="40">
    <w:name w:val="18"/>
    <w:basedOn w:val="18"/>
    <w:qFormat/>
    <w:uiPriority w:val="0"/>
    <w:rPr>
      <w:rFonts w:hint="default" w:ascii="Calibri Light" w:hAnsi="Calibri Light" w:eastAsia="宋体" w:cs="Calibri Light"/>
      <w:b/>
      <w:kern w:val="2"/>
      <w:sz w:val="32"/>
      <w:szCs w:val="32"/>
    </w:rPr>
  </w:style>
  <w:style w:type="character" w:customStyle="1" w:styleId="41">
    <w:name w:val="19"/>
    <w:basedOn w:val="18"/>
    <w:qFormat/>
    <w:uiPriority w:val="0"/>
    <w:rPr>
      <w:rFonts w:hint="default" w:ascii="Calibri Light" w:hAnsi="Calibri Light" w:eastAsia="宋体" w:cs="Times New Roman"/>
      <w:b/>
      <w:sz w:val="32"/>
      <w:szCs w:val="32"/>
    </w:rPr>
  </w:style>
  <w:style w:type="character" w:customStyle="1" w:styleId="42">
    <w:name w:val="24"/>
    <w:basedOn w:val="18"/>
    <w:qFormat/>
    <w:uiPriority w:val="0"/>
    <w:rPr>
      <w:rFonts w:hint="eastAsia" w:ascii="宋体" w:hAnsi="宋体" w:eastAsia="宋体" w:cs="宋体"/>
      <w:b/>
      <w:sz w:val="32"/>
      <w:szCs w:val="32"/>
    </w:rPr>
  </w:style>
  <w:style w:type="character" w:customStyle="1" w:styleId="43">
    <w:name w:val="21"/>
    <w:basedOn w:val="18"/>
    <w:qFormat/>
    <w:uiPriority w:val="0"/>
    <w:rPr>
      <w:rFonts w:hint="default" w:ascii="Calibri Light" w:hAnsi="Calibri Light" w:eastAsia="宋体" w:cs="Times New Roman"/>
      <w:b/>
      <w:sz w:val="32"/>
      <w:szCs w:val="32"/>
    </w:rPr>
  </w:style>
  <w:style w:type="character" w:customStyle="1" w:styleId="44">
    <w:name w:val="22"/>
    <w:basedOn w:val="18"/>
    <w:qFormat/>
    <w:uiPriority w:val="0"/>
    <w:rPr>
      <w:rFonts w:hint="default" w:ascii="Times New Roman" w:hAnsi="Times New Roman" w:eastAsia="宋体" w:cs="Times New Roman"/>
      <w:b/>
    </w:rPr>
  </w:style>
  <w:style w:type="character" w:customStyle="1" w:styleId="45">
    <w:name w:val="25"/>
    <w:basedOn w:val="18"/>
    <w:qFormat/>
    <w:uiPriority w:val="0"/>
    <w:rPr>
      <w:rFonts w:hint="eastAsia" w:ascii="宋体" w:hAnsi="宋体" w:eastAsia="宋体" w:cs="宋体"/>
      <w:sz w:val="24"/>
      <w:szCs w:val="24"/>
    </w:rPr>
  </w:style>
  <w:style w:type="character" w:customStyle="1" w:styleId="46">
    <w:name w:val="26"/>
    <w:basedOn w:val="18"/>
    <w:qFormat/>
    <w:uiPriority w:val="0"/>
    <w:rPr>
      <w:rFonts w:hint="eastAsia" w:ascii="宋体" w:hAnsi="宋体" w:eastAsia="宋体" w:cs="宋体"/>
      <w:b/>
      <w:sz w:val="28"/>
      <w:szCs w:val="28"/>
    </w:rPr>
  </w:style>
  <w:style w:type="character" w:customStyle="1" w:styleId="47">
    <w:name w:val="27"/>
    <w:basedOn w:val="18"/>
    <w:qFormat/>
    <w:uiPriority w:val="0"/>
    <w:rPr>
      <w:rFonts w:hint="default" w:ascii="Calibri Light" w:hAnsi="Calibri Light" w:eastAsia="宋体" w:cs="Times New Roman"/>
      <w:b/>
      <w:sz w:val="28"/>
      <w:szCs w:val="28"/>
    </w:rPr>
  </w:style>
  <w:style w:type="character" w:customStyle="1" w:styleId="48">
    <w:name w:val="29"/>
    <w:basedOn w:val="18"/>
    <w:qFormat/>
    <w:uiPriority w:val="0"/>
    <w:rPr>
      <w:rFonts w:hint="eastAsia" w:ascii="宋体" w:hAnsi="宋体" w:eastAsia="宋体" w:cs="宋体"/>
      <w:sz w:val="18"/>
      <w:szCs w:val="18"/>
    </w:rPr>
  </w:style>
  <w:style w:type="character" w:customStyle="1" w:styleId="49">
    <w:name w:val="30"/>
    <w:basedOn w:val="18"/>
    <w:qFormat/>
    <w:uiPriority w:val="0"/>
    <w:rPr>
      <w:rFonts w:hint="eastAsia" w:ascii="宋体" w:hAnsi="宋体" w:eastAsia="宋体" w:cs="宋体"/>
      <w:b/>
      <w:sz w:val="28"/>
      <w:szCs w:val="28"/>
    </w:rPr>
  </w:style>
  <w:style w:type="character" w:customStyle="1" w:styleId="50">
    <w:name w:val="31"/>
    <w:basedOn w:val="18"/>
    <w:qFormat/>
    <w:uiPriority w:val="0"/>
    <w:rPr>
      <w:rFonts w:hint="eastAsia" w:ascii="宋体" w:hAnsi="宋体" w:eastAsia="宋体" w:cs="宋体"/>
      <w:sz w:val="18"/>
      <w:szCs w:val="18"/>
    </w:rPr>
  </w:style>
  <w:style w:type="character" w:customStyle="1" w:styleId="51">
    <w:name w:val="32"/>
    <w:basedOn w:val="18"/>
    <w:qFormat/>
    <w:uiPriority w:val="0"/>
    <w:rPr>
      <w:rFonts w:hint="eastAsia" w:ascii="宋体" w:hAnsi="宋体" w:eastAsia="宋体" w:cs="宋体"/>
      <w:sz w:val="18"/>
      <w:szCs w:val="18"/>
    </w:rPr>
  </w:style>
  <w:style w:type="character" w:customStyle="1" w:styleId="52">
    <w:name w:val="33"/>
    <w:basedOn w:val="18"/>
    <w:qFormat/>
    <w:uiPriority w:val="0"/>
    <w:rPr>
      <w:rFonts w:hint="default" w:ascii="Courier New" w:hAnsi="Courier New" w:eastAsia="宋体" w:cs="Courier New"/>
    </w:rPr>
  </w:style>
  <w:style w:type="character" w:customStyle="1" w:styleId="53">
    <w:name w:val="34"/>
    <w:basedOn w:val="18"/>
    <w:qFormat/>
    <w:uiPriority w:val="0"/>
    <w:rPr>
      <w:rFonts w:hint="eastAsia" w:ascii="宋体" w:hAnsi="宋体" w:eastAsia="宋体" w:cs="宋体"/>
      <w:b/>
      <w:kern w:val="44"/>
      <w:sz w:val="44"/>
      <w:szCs w:val="44"/>
    </w:rPr>
  </w:style>
  <w:style w:type="paragraph" w:customStyle="1" w:styleId="54">
    <w:name w:val="TOC 标题1"/>
    <w:basedOn w:val="3"/>
    <w:next w:val="1"/>
    <w:qFormat/>
    <w:uiPriority w:val="0"/>
    <w:pPr>
      <w:widowControl/>
      <w:spacing w:before="480" w:after="0" w:line="264" w:lineRule="auto"/>
      <w:jc w:val="left"/>
    </w:pPr>
    <w:rPr>
      <w:rFonts w:ascii="Cambria" w:hAnsi="Cambria"/>
      <w:color w:val="365F91"/>
      <w:kern w:val="0"/>
      <w:sz w:val="28"/>
      <w:szCs w:val="28"/>
    </w:rPr>
  </w:style>
  <w:style w:type="paragraph" w:customStyle="1" w:styleId="55">
    <w:name w:val="普通(网站) Char"/>
    <w:basedOn w:val="1"/>
    <w:qFormat/>
    <w:uiPriority w:val="0"/>
    <w:pPr>
      <w:widowControl w:val="0"/>
      <w:spacing w:beforeAutospacing="1" w:afterAutospacing="1"/>
    </w:pPr>
    <w:rPr>
      <w:rFonts w:hint="default" w:ascii="Calibri" w:hAnsi="Calibri"/>
    </w:rPr>
  </w:style>
  <w:style w:type="paragraph" w:customStyle="1" w:styleId="56">
    <w:name w:val="Header or footer|2"/>
    <w:basedOn w:val="1"/>
    <w:qFormat/>
    <w:uiPriority w:val="0"/>
    <w:pPr>
      <w:widowControl w:val="0"/>
    </w:pPr>
    <w:rPr>
      <w:rFonts w:hint="default" w:ascii="Times New Roman" w:hAnsi="Times New Roman"/>
      <w:color w:val="000000"/>
      <w:sz w:val="20"/>
      <w:szCs w:val="20"/>
    </w:rPr>
  </w:style>
  <w:style w:type="character" w:customStyle="1" w:styleId="57">
    <w:name w:val="36"/>
    <w:basedOn w:val="18"/>
    <w:qFormat/>
    <w:uiPriority w:val="0"/>
    <w:rPr>
      <w:rFonts w:hint="default" w:ascii="Calibri Light" w:hAnsi="Calibri Light" w:eastAsia="宋体" w:cs="Times New Roman"/>
      <w:b/>
      <w:sz w:val="32"/>
      <w:szCs w:val="32"/>
    </w:rPr>
  </w:style>
  <w:style w:type="character" w:customStyle="1" w:styleId="58">
    <w:name w:val="37"/>
    <w:basedOn w:val="18"/>
    <w:qFormat/>
    <w:uiPriority w:val="0"/>
    <w:rPr>
      <w:rFonts w:hint="default" w:ascii="Times New Roman" w:hAnsi="Times New Roman" w:eastAsia="宋体" w:cs="Times New Roman"/>
      <w:color w:val="954F72"/>
      <w:u w:val="single"/>
    </w:rPr>
  </w:style>
  <w:style w:type="character" w:customStyle="1" w:styleId="59">
    <w:name w:val="40"/>
    <w:basedOn w:val="18"/>
    <w:qFormat/>
    <w:uiPriority w:val="0"/>
    <w:rPr>
      <w:rFonts w:hint="default" w:ascii="Times New Roman" w:hAnsi="Times New Roman" w:eastAsia="宋体" w:cs="Times New Roman"/>
      <w:color w:val="0000FF"/>
      <w:u w:val="single"/>
    </w:rPr>
  </w:style>
  <w:style w:type="paragraph" w:customStyle="1" w:styleId="60">
    <w:name w:val="正文 A"/>
    <w:basedOn w:val="1"/>
    <w:qFormat/>
    <w:uiPriority w:val="0"/>
    <w:pPr>
      <w:spacing w:after="200" w:line="264" w:lineRule="auto"/>
    </w:pPr>
    <w:rPr>
      <w:rFonts w:hint="default" w:ascii="Times New Roman" w:hAnsi="Times New Roman"/>
      <w:color w:val="000000"/>
      <w:sz w:val="22"/>
      <w:szCs w:val="22"/>
    </w:rPr>
  </w:style>
  <w:style w:type="character" w:customStyle="1" w:styleId="61">
    <w:name w:val="44"/>
    <w:basedOn w:val="18"/>
    <w:qFormat/>
    <w:uiPriority w:val="0"/>
    <w:rPr>
      <w:rFonts w:hint="default" w:ascii="Times New Roman" w:hAnsi="Times New Roman" w:eastAsia="宋体" w:cs="Times New Roman"/>
    </w:rPr>
  </w:style>
  <w:style w:type="character" w:customStyle="1" w:styleId="62">
    <w:name w:val="47"/>
    <w:basedOn w:val="18"/>
    <w:qFormat/>
    <w:uiPriority w:val="0"/>
    <w:rPr>
      <w:rFonts w:hint="default" w:ascii="Calibri Light" w:hAnsi="Calibri Light" w:eastAsia="宋体" w:cs="Times New Roman"/>
      <w:b/>
      <w:sz w:val="24"/>
      <w:szCs w:val="24"/>
    </w:rPr>
  </w:style>
  <w:style w:type="character" w:customStyle="1" w:styleId="63">
    <w:name w:val="48"/>
    <w:basedOn w:val="18"/>
    <w:qFormat/>
    <w:uiPriority w:val="0"/>
    <w:rPr>
      <w:rFonts w:hint="eastAsia" w:ascii="宋体" w:hAnsi="宋体" w:eastAsia="宋体" w:cs="宋体"/>
      <w:b/>
      <w:kern w:val="2"/>
      <w:sz w:val="32"/>
      <w:szCs w:val="32"/>
    </w:rPr>
  </w:style>
  <w:style w:type="paragraph" w:customStyle="1" w:styleId="64">
    <w:name w:val="Heading1"/>
    <w:basedOn w:val="1"/>
    <w:next w:val="1"/>
    <w:qFormat/>
    <w:uiPriority w:val="0"/>
    <w:pPr>
      <w:widowControl w:val="0"/>
      <w:spacing w:beforeAutospacing="1" w:afterAutospacing="1"/>
    </w:pPr>
    <w:rPr>
      <w:b/>
      <w:kern w:val="44"/>
      <w:sz w:val="48"/>
      <w:szCs w:val="48"/>
    </w:rPr>
  </w:style>
  <w:style w:type="character" w:customStyle="1" w:styleId="65">
    <w:name w:val="50"/>
    <w:basedOn w:val="18"/>
    <w:qFormat/>
    <w:uiPriority w:val="0"/>
    <w:rPr>
      <w:rFonts w:hint="default" w:ascii="Courier New" w:hAnsi="Courier New" w:eastAsia="宋体" w:cs="Courier New"/>
    </w:rPr>
  </w:style>
  <w:style w:type="character" w:customStyle="1" w:styleId="66">
    <w:name w:val="53"/>
    <w:basedOn w:val="18"/>
    <w:qFormat/>
    <w:uiPriority w:val="0"/>
    <w:rPr>
      <w:rFonts w:hint="default" w:ascii="Calibri" w:hAnsi="Calibri" w:eastAsia="方正大标宋简体" w:cs="Calibri"/>
      <w:color w:val="FF0000"/>
      <w:sz w:val="36"/>
      <w:szCs w:val="36"/>
    </w:rPr>
  </w:style>
  <w:style w:type="character" w:customStyle="1" w:styleId="67">
    <w:name w:val="54"/>
    <w:basedOn w:val="18"/>
    <w:qFormat/>
    <w:uiPriority w:val="0"/>
    <w:rPr>
      <w:rFonts w:hint="eastAsia" w:ascii="宋体" w:hAnsi="宋体" w:eastAsia="宋体" w:cs="宋体"/>
      <w:kern w:val="2"/>
      <w:sz w:val="18"/>
      <w:szCs w:val="18"/>
    </w:rPr>
  </w:style>
  <w:style w:type="paragraph" w:customStyle="1" w:styleId="68">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default" w:ascii="Courier New" w:hAnsi="Courier New"/>
      <w:sz w:val="20"/>
      <w:szCs w:val="20"/>
    </w:rPr>
  </w:style>
  <w:style w:type="paragraph" w:customStyle="1" w:styleId="69">
    <w:name w:val="Normal Indent1"/>
    <w:basedOn w:val="1"/>
    <w:qFormat/>
    <w:uiPriority w:val="0"/>
    <w:pPr>
      <w:widowControl w:val="0"/>
      <w:ind w:firstLine="420" w:firstLineChars="200"/>
      <w:jc w:val="both"/>
    </w:pPr>
    <w:rPr>
      <w:rFonts w:hint="default" w:ascii="Times New Roman" w:hAnsi="Times New Roman"/>
      <w:kern w:val="2"/>
      <w:sz w:val="21"/>
      <w:szCs w:val="21"/>
    </w:rPr>
  </w:style>
  <w:style w:type="paragraph" w:customStyle="1" w:styleId="70">
    <w:name w:val="p_pMsoNormal"/>
    <w:basedOn w:val="1"/>
    <w:qFormat/>
    <w:uiPriority w:val="0"/>
    <w:pPr>
      <w:jc w:val="both"/>
    </w:pPr>
    <w:rPr>
      <w:rFonts w:hint="default" w:ascii="等线" w:hAnsi="等线" w:eastAsia="等线"/>
      <w:sz w:val="21"/>
      <w:szCs w:val="21"/>
    </w:rPr>
  </w:style>
  <w:style w:type="paragraph" w:customStyle="1" w:styleId="71">
    <w:name w:val="p_MsoNormal"/>
    <w:basedOn w:val="1"/>
    <w:qFormat/>
    <w:uiPriority w:val="0"/>
  </w:style>
  <w:style w:type="paragraph" w:customStyle="1" w:styleId="72">
    <w:name w:val="无间隔1"/>
    <w:basedOn w:val="1"/>
    <w:qFormat/>
    <w:uiPriority w:val="0"/>
    <w:pPr>
      <w:widowControl w:val="0"/>
      <w:jc w:val="both"/>
    </w:pPr>
    <w:rPr>
      <w:rFonts w:hint="default" w:ascii="Times New Roman" w:hAnsi="Times New Roman"/>
      <w:kern w:val="2"/>
      <w:sz w:val="21"/>
      <w:szCs w:val="21"/>
    </w:rPr>
  </w:style>
  <w:style w:type="paragraph" w:customStyle="1" w:styleId="73">
    <w:name w:val="msolistparagraph"/>
    <w:basedOn w:val="1"/>
    <w:qFormat/>
    <w:uiPriority w:val="0"/>
    <w:pPr>
      <w:widowControl w:val="0"/>
      <w:ind w:firstLine="420" w:firstLineChars="200"/>
    </w:pPr>
    <w:rPr>
      <w:rFonts w:hint="default" w:ascii="Times New Roman" w:hAnsi="Times New Roman"/>
      <w:color w:val="000000"/>
    </w:rPr>
  </w:style>
  <w:style w:type="paragraph" w:customStyle="1" w:styleId="74">
    <w:name w:val="Heading #2|1"/>
    <w:basedOn w:val="1"/>
    <w:qFormat/>
    <w:uiPriority w:val="0"/>
    <w:pPr>
      <w:widowControl w:val="0"/>
      <w:spacing w:after="540" w:line="611" w:lineRule="exact"/>
      <w:jc w:val="center"/>
      <w:outlineLvl w:val="1"/>
    </w:pPr>
    <w:rPr>
      <w:color w:val="000000"/>
      <w:sz w:val="42"/>
      <w:szCs w:val="42"/>
    </w:rPr>
  </w:style>
  <w:style w:type="character" w:customStyle="1" w:styleId="75">
    <w:name w:val="页脚 Char"/>
    <w:basedOn w:val="18"/>
    <w:link w:val="11"/>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136</Pages>
  <Words>8773</Words>
  <Characters>50012</Characters>
  <Lines>416</Lines>
  <Paragraphs>117</Paragraphs>
  <TotalTime>5</TotalTime>
  <ScaleCrop>false</ScaleCrop>
  <LinksUpToDate>false</LinksUpToDate>
  <CharactersWithSpaces>58668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2023-09-19T07:29:00Z</dcterms:created>
  <dc:creator>qincongjun</dc:creator>
  <cp:lastModifiedBy>姜洪涛</cp:lastModifiedBy>
  <dcterms:modified xsi:type="dcterms:W3CDTF">2023-09-20T07:58:01Z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5F5998720C5F45A3BD87395439627D77_13</vt:lpwstr>
  </property>
</Properties>
</file>