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pacing w:after="0" w:line="560" w:lineRule="exact"/>
        <w:jc w:val="both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zh-TW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zh-TW" w:eastAsia="zh-TW"/>
        </w:rPr>
        <w:t>项目十七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zh-TW" w:eastAsia="zh-CN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“党的创新理论我来讲——沿着习近平总书记指引的方向奋勇前进”理论宣讲大赛项目支出绩效评分表</w:t>
      </w:r>
    </w:p>
    <w:bookmarkEnd w:id="0"/>
    <w:tbl>
      <w:tblPr>
        <w:tblStyle w:val="4"/>
        <w:tblpPr w:leftFromText="180" w:rightFromText="180" w:vertAnchor="text" w:horzAnchor="page" w:tblpX="1201" w:tblpY="383"/>
        <w:tblW w:w="10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71"/>
        <w:gridCol w:w="1143"/>
        <w:gridCol w:w="1091"/>
        <w:gridCol w:w="499"/>
        <w:gridCol w:w="568"/>
        <w:gridCol w:w="2101"/>
        <w:gridCol w:w="1975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四级指标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数据来源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A.项目决策（20%）</w:t>
            </w:r>
          </w:p>
        </w:tc>
        <w:tc>
          <w:tcPr>
            <w:tcW w:w="971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A1.项目立项（10%）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A11.立项依据充分性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A111.与市政府相关规划、决策匹配性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　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考察项目是否符合市政府相关发展规划和政府决策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符合，得满分；不符合，不得分。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市委宣传部下发的活动通知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A12.项目立项规范性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A121.与部门职责适应性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考察项目是否与部门职责密切相关。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是，得满分；否，不得分。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昆明市宣传和社会事业工委下发的活动通知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A122.前期调研情况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考察项目立项是否经过前期调研。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是，得满分；否，不得分。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活动方案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A13.绩效目标设定的合理性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A131.立项程序规范性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考察项目的申请、设立过程是否符合相关要求。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是，得满分；否，不得分。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昆明市宣传和社会事业工委下发的活动通知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A132.绩效目标相关性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考察设定的绩效目标是否与活动规划相关。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是，得满分；否，不得分。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绩效目标申报表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A2.项目目标（10%）</w:t>
            </w:r>
          </w:p>
        </w:tc>
        <w:tc>
          <w:tcPr>
            <w:tcW w:w="1143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A21.绩效指标设定的明确性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A211.绩效目标完整性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考察设定的绩效目标是否完整地反应预期产出和效果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是，得满分；否，不得分。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绩效目标申报表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A212.目标与预算的匹配性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考察设定的绩效目标是否与年度预算相匹配。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是，得满分；否，不得分。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绩效目标申报表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A213.指标细化分解情况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　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考察是否将绩效目标细化分解为清晰、可衡量的绩效指标。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是，得满分；否，不得分。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绩效目标申报表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B.项目管理（20%）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B1.投入管理（4%）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B11.预算执行率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B111.预算执行支出情况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考察项目预算执行的进度。预算执行率=实际支出金额/项目预算金额×100%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预算执行率95%以上，得满分；低于95%，每下降1%扣权重的1%；预算执行率60%以下，不计分。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绩效目标申报表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B2.流程管理（16%）</w:t>
            </w:r>
          </w:p>
        </w:tc>
        <w:tc>
          <w:tcPr>
            <w:tcW w:w="1143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B21.理论宣讲文艺类、语言类流程管理情况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B211.语言类管理情况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考察是否按照活动要求执行语言类比赛管理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是，得满分；否，不得分。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比赛报名表，比赛主持词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B212.文艺类管理情况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考察是否按照活动要求执行文艺类比赛管理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是，得满分；否，不得分。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比赛报名表，比赛主持词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C.项目绩效（60%）</w:t>
            </w:r>
          </w:p>
        </w:tc>
        <w:tc>
          <w:tcPr>
            <w:tcW w:w="971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C1.项目产出（50%）</w:t>
            </w:r>
          </w:p>
        </w:tc>
        <w:tc>
          <w:tcPr>
            <w:tcW w:w="1143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C11.活动宣传情况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C111.活动开展情况的报道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考察活动开展情况的报道是否取得相应效果。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取得较好效果，得满分；宣传效果不好，不得分。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宣传报道情况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C112.优秀参赛作品宣传情况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　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考察优秀宣讲作品的宣传是否取得相应效果。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取得较好效果，得满分；宣传效果不好，不得分。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市级比赛排名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C12.比赛完成情况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C121.比赛氛围营造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　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考察比赛的赛前氛围营造是否取得预期效果。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取得较好效果，得满分；未取得预期效果，不得分。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宣讲比赛现场图片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C122.比赛形式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考察比赛形式是否多样，是否有创新。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在形式上一改单一的演讲模式，增加文艺+理论宣讲的创新模式，得满分；未进行创新不得分。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参赛节目现场照片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C123.比赛内容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19　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比赛内容是否深入浅出地宣讲了党的创新理论。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较好地宣讲了党的创新理论的得满分；仍有未充分讲解党的创新理论的，适当扣分。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活动报道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C124.比赛成果宣传的可持续性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比赛成果宣传是否可持续。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比赛成果宣传可持续，得满分；不可持续，每降低1%，扣权重的3%，扣完为止。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宣传报道视频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C2.项目效益（10%）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C21.推荐情况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C221.市级比赛或推荐情况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　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考察此次比赛获奖的节目是否获得参加市级比赛的推荐。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是，得满分；否，不得分。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市级比赛排名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100分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99分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5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560" w:lineRule="exact"/>
      </w:pPr>
    </w:p>
    <w:p>
      <w:pPr>
        <w:pStyle w:val="2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446DE"/>
    <w:rsid w:val="7EF4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 A"/>
    <w:qFormat/>
    <w:uiPriority w:val="99"/>
    <w:pPr>
      <w:spacing w:after="200" w:line="276" w:lineRule="auto"/>
    </w:pPr>
    <w:rPr>
      <w:rFonts w:ascii="Calibri" w:hAnsi="Calibri" w:eastAsia="宋体" w:cs="Calibri"/>
      <w:color w:val="000000"/>
      <w:sz w:val="22"/>
      <w:szCs w:val="22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2021-08-23T08:28:00Z</dcterms:created>
  <dc:creator>ling</dc:creator>
  <cp:lastModifiedBy>ling</cp:lastModifiedBy>
  <dcterms:modified xsi:type="dcterms:W3CDTF">2021-08-23T08:28:34Z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699AB7D1F3A140D3BAE466BA39B84F0D</vt:lpwstr>
  </property>
</Properties>
</file>