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rPr>
        <w:t xml:space="preserve">谈 判 </w:t>
      </w:r>
      <w:r>
        <w:rPr>
          <w:b/>
          <w:kern w:val="0"/>
          <w:sz w:val="112"/>
          <w:szCs w:val="112"/>
        </w:rPr>
        <w:t>文</w:t>
      </w:r>
      <w:r>
        <w:rPr>
          <w:rFonts w:hint="eastAsia"/>
          <w:b/>
          <w:kern w:val="0"/>
          <w:sz w:val="112"/>
          <w:szCs w:val="112"/>
        </w:rPr>
        <w:t xml:space="preserve"> </w:t>
      </w:r>
      <w:r>
        <w:rPr>
          <w:b/>
          <w:kern w:val="0"/>
          <w:sz w:val="112"/>
          <w:szCs w:val="112"/>
        </w:rPr>
        <w:t>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rPr>
          <w:sz w:val="32"/>
        </w:rPr>
      </w:pPr>
      <w:r>
        <w:rPr>
          <w:sz w:val="32"/>
        </w:rPr>
        <w:t>项目编号：</w:t>
      </w:r>
      <w:r>
        <w:rPr>
          <w:rFonts w:hint="eastAsia"/>
          <w:sz w:val="32"/>
        </w:rPr>
        <w:t>FW2021034</w:t>
      </w:r>
    </w:p>
    <w:p>
      <w:pPr>
        <w:autoSpaceDE w:val="0"/>
        <w:autoSpaceDN w:val="0"/>
        <w:adjustRightInd w:val="0"/>
        <w:snapToGrid w:val="0"/>
        <w:spacing w:line="600" w:lineRule="exact"/>
        <w:ind w:left="2560" w:hanging="2560" w:hangingChars="800"/>
        <w:jc w:val="left"/>
        <w:rPr>
          <w:sz w:val="32"/>
        </w:rPr>
      </w:pPr>
      <w:r>
        <w:rPr>
          <w:sz w:val="32"/>
        </w:rPr>
        <w:t>项目名称：</w:t>
      </w:r>
      <w:r>
        <w:rPr>
          <w:rFonts w:hint="eastAsia"/>
          <w:sz w:val="32"/>
        </w:rPr>
        <w:t>昆明日报社杂志印刷服务采购</w:t>
      </w:r>
    </w:p>
    <w:p>
      <w:pPr>
        <w:tabs>
          <w:tab w:val="left" w:pos="6219"/>
        </w:tabs>
        <w:autoSpaceDE w:val="0"/>
        <w:autoSpaceDN w:val="0"/>
        <w:adjustRightInd w:val="0"/>
        <w:snapToGrid w:val="0"/>
        <w:spacing w:line="700" w:lineRule="exact"/>
        <w:rPr>
          <w:sz w:val="32"/>
        </w:rPr>
      </w:pPr>
      <w:r>
        <w:rPr>
          <w:sz w:val="32"/>
        </w:rPr>
        <w:t>采购人：</w:t>
      </w:r>
      <w:r>
        <w:rPr>
          <w:rFonts w:hint="eastAsia"/>
          <w:sz w:val="32"/>
        </w:rPr>
        <w:t>昆明日报社</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21</w:t>
      </w:r>
      <w:r>
        <w:rPr>
          <w:rFonts w:eastAsia="方正仿宋_GBK"/>
          <w:kern w:val="0"/>
          <w:sz w:val="36"/>
          <w:szCs w:val="36"/>
        </w:rPr>
        <w:t>年</w:t>
      </w:r>
      <w:r>
        <w:rPr>
          <w:rFonts w:hint="eastAsia" w:eastAsia="方正仿宋_GBK"/>
          <w:kern w:val="0"/>
          <w:sz w:val="36"/>
          <w:szCs w:val="36"/>
        </w:rPr>
        <w:t>7</w:t>
      </w:r>
      <w:r>
        <w:rPr>
          <w:rFonts w:eastAsia="方正仿宋_GBK"/>
          <w:kern w:val="0"/>
          <w:sz w:val="36"/>
          <w:szCs w:val="36"/>
        </w:rPr>
        <w:t>月</w:t>
      </w:r>
      <w:r>
        <w:rPr>
          <w:rFonts w:hint="eastAsia" w:eastAsia="方正仿宋_GBK"/>
          <w:kern w:val="0"/>
          <w:sz w:val="36"/>
          <w:szCs w:val="36"/>
        </w:rPr>
        <w:t>8</w:t>
      </w:r>
      <w:r>
        <w:rPr>
          <w:rFonts w:eastAsia="方正仿宋_GBK"/>
          <w:kern w:val="0"/>
          <w:sz w:val="36"/>
          <w:szCs w:val="36"/>
        </w:rPr>
        <w:t>日</w:t>
      </w:r>
    </w:p>
    <w:p>
      <w:pPr>
        <w:rPr>
          <w:rFonts w:eastAsia="方正仿宋_GBK"/>
          <w:kern w:val="0"/>
          <w:sz w:val="36"/>
          <w:szCs w:val="36"/>
        </w:rPr>
      </w:pPr>
    </w:p>
    <w:p>
      <w:pPr>
        <w:jc w:val="center"/>
        <w:rPr>
          <w:rFonts w:ascii="宋体" w:hAnsi="宋体" w:cs="宋体"/>
          <w:sz w:val="44"/>
          <w:szCs w:val="44"/>
        </w:rPr>
      </w:pPr>
      <w:r>
        <w:rPr>
          <w:rFonts w:hint="eastAsia" w:ascii="宋体" w:hAnsi="宋体" w:cs="宋体"/>
          <w:sz w:val="44"/>
          <w:szCs w:val="44"/>
        </w:rPr>
        <w:t>昆明日报社杂志印刷服务采购竞争性谈判文件</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一、磋商邀请</w:t>
      </w:r>
      <w:r>
        <w:rPr>
          <w:rFonts w:hint="eastAsia" w:ascii="仿宋" w:hAnsi="仿宋" w:eastAsia="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昆明日报社就杂志印刷服务进行采购，请具有承接此项目能力的供应商前来竞争性谈判。</w:t>
      </w:r>
    </w:p>
    <w:p>
      <w:pPr>
        <w:ind w:firstLine="640" w:firstLineChars="200"/>
        <w:rPr>
          <w:rFonts w:ascii="仿宋" w:hAnsi="仿宋" w:eastAsia="仿宋"/>
          <w:sz w:val="32"/>
          <w:szCs w:val="32"/>
        </w:rPr>
      </w:pPr>
      <w:r>
        <w:rPr>
          <w:rFonts w:ascii="仿宋" w:hAnsi="仿宋" w:eastAsia="仿宋"/>
          <w:sz w:val="32"/>
          <w:szCs w:val="32"/>
        </w:rPr>
        <w:t>二、项目需求</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（一）项目名称：</w:t>
      </w:r>
      <w:r>
        <w:rPr>
          <w:rFonts w:hint="eastAsia" w:ascii="仿宋" w:hAnsi="仿宋" w:eastAsia="仿宋"/>
          <w:sz w:val="32"/>
          <w:szCs w:val="32"/>
        </w:rPr>
        <w:t>昆明日报社杂志印刷服务采购</w:t>
      </w:r>
    </w:p>
    <w:p>
      <w:pPr>
        <w:ind w:firstLine="640" w:firstLineChars="200"/>
        <w:rPr>
          <w:rFonts w:ascii="仿宋" w:hAnsi="仿宋" w:eastAsia="仿宋"/>
          <w:sz w:val="32"/>
          <w:szCs w:val="32"/>
        </w:rPr>
      </w:pPr>
      <w:r>
        <w:rPr>
          <w:rFonts w:ascii="仿宋" w:hAnsi="仿宋" w:eastAsia="仿宋"/>
          <w:sz w:val="32"/>
          <w:szCs w:val="32"/>
        </w:rPr>
        <w:t>（二）项目内容：</w:t>
      </w:r>
    </w:p>
    <w:p>
      <w:pPr>
        <w:ind w:firstLine="640" w:firstLineChars="200"/>
        <w:rPr>
          <w:rFonts w:ascii="仿宋" w:hAnsi="仿宋" w:eastAsia="仿宋"/>
          <w:sz w:val="32"/>
          <w:szCs w:val="32"/>
        </w:rPr>
      </w:pPr>
      <w:r>
        <w:rPr>
          <w:rFonts w:hint="eastAsia" w:ascii="仿宋" w:hAnsi="仿宋" w:eastAsia="仿宋"/>
          <w:sz w:val="32"/>
          <w:szCs w:val="32"/>
        </w:rPr>
        <w:t>开本：275*215mm（大度16开）</w:t>
      </w:r>
    </w:p>
    <w:p>
      <w:pPr>
        <w:ind w:firstLine="640" w:firstLineChars="200"/>
        <w:rPr>
          <w:rFonts w:ascii="仿宋" w:hAnsi="仿宋" w:eastAsia="仿宋"/>
          <w:sz w:val="32"/>
          <w:szCs w:val="32"/>
        </w:rPr>
      </w:pPr>
      <w:r>
        <w:rPr>
          <w:rFonts w:hint="eastAsia" w:ascii="仿宋" w:hAnsi="仿宋" w:eastAsia="仿宋"/>
          <w:sz w:val="32"/>
          <w:szCs w:val="32"/>
        </w:rPr>
        <w:t>页码：60P+4封</w:t>
      </w:r>
    </w:p>
    <w:p>
      <w:pPr>
        <w:ind w:firstLine="640" w:firstLineChars="200"/>
        <w:rPr>
          <w:rFonts w:ascii="仿宋" w:hAnsi="仿宋" w:eastAsia="仿宋"/>
          <w:sz w:val="32"/>
          <w:szCs w:val="32"/>
        </w:rPr>
      </w:pPr>
      <w:r>
        <w:rPr>
          <w:rFonts w:hint="eastAsia" w:ascii="仿宋" w:hAnsi="仿宋" w:eastAsia="仿宋"/>
          <w:sz w:val="32"/>
          <w:szCs w:val="32"/>
        </w:rPr>
        <w:t>材质：封面200克高彩印画，内页80克蒙肯纸，锁线胶装</w:t>
      </w:r>
    </w:p>
    <w:p>
      <w:pPr>
        <w:ind w:firstLine="640" w:firstLineChars="200"/>
        <w:rPr>
          <w:rFonts w:ascii="仿宋" w:hAnsi="仿宋" w:eastAsia="仿宋"/>
          <w:sz w:val="32"/>
          <w:szCs w:val="32"/>
        </w:rPr>
      </w:pPr>
      <w:r>
        <w:rPr>
          <w:rFonts w:hint="eastAsia" w:ascii="仿宋" w:hAnsi="仿宋" w:eastAsia="仿宋"/>
          <w:sz w:val="32"/>
          <w:szCs w:val="32"/>
        </w:rPr>
        <w:t>周期：季刊，全年4期</w:t>
      </w:r>
    </w:p>
    <w:p>
      <w:pPr>
        <w:ind w:firstLine="640" w:firstLineChars="200"/>
        <w:rPr>
          <w:rFonts w:ascii="仿宋" w:hAnsi="仿宋" w:eastAsia="仿宋"/>
          <w:sz w:val="32"/>
          <w:szCs w:val="32"/>
        </w:rPr>
      </w:pPr>
      <w:r>
        <w:rPr>
          <w:rFonts w:hint="eastAsia" w:ascii="仿宋" w:hAnsi="仿宋" w:eastAsia="仿宋"/>
          <w:sz w:val="32"/>
          <w:szCs w:val="32"/>
        </w:rPr>
        <w:t>印刷数量：每期3000册</w:t>
      </w:r>
    </w:p>
    <w:p>
      <w:pPr>
        <w:ind w:firstLine="640" w:firstLineChars="200"/>
        <w:rPr>
          <w:rFonts w:ascii="仿宋" w:hAnsi="仿宋" w:eastAsia="仿宋"/>
          <w:sz w:val="32"/>
          <w:szCs w:val="32"/>
        </w:rPr>
      </w:pPr>
      <w:r>
        <w:rPr>
          <w:rFonts w:hint="eastAsia" w:ascii="仿宋" w:hAnsi="仿宋" w:eastAsia="仿宋"/>
          <w:sz w:val="32"/>
          <w:szCs w:val="32"/>
        </w:rPr>
        <w:t>三、</w:t>
      </w:r>
      <w:r>
        <w:rPr>
          <w:rFonts w:hint="eastAsia" w:ascii="仿宋" w:hAnsi="仿宋" w:eastAsia="仿宋"/>
          <w:b/>
          <w:sz w:val="32"/>
          <w:szCs w:val="32"/>
        </w:rPr>
        <w:t>采购预算：￥</w:t>
      </w:r>
      <w:r>
        <w:rPr>
          <w:rFonts w:hint="eastAsia" w:ascii="仿宋" w:hAnsi="仿宋" w:eastAsia="仿宋"/>
          <w:b/>
          <w:sz w:val="32"/>
          <w:szCs w:val="32"/>
          <w:lang w:val="en-US" w:eastAsia="zh-CN"/>
        </w:rPr>
        <w:t>60000</w:t>
      </w:r>
      <w:r>
        <w:rPr>
          <w:rFonts w:hint="eastAsia" w:ascii="仿宋" w:hAnsi="仿宋" w:eastAsia="仿宋"/>
          <w:b/>
          <w:sz w:val="32"/>
          <w:szCs w:val="32"/>
        </w:rPr>
        <w:t>元</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、采购方式：竞争性</w:t>
      </w:r>
      <w:r>
        <w:rPr>
          <w:rFonts w:hint="eastAsia" w:ascii="仿宋" w:hAnsi="仿宋" w:eastAsia="仿宋"/>
          <w:sz w:val="32"/>
          <w:szCs w:val="32"/>
        </w:rPr>
        <w:t>谈判</w:t>
      </w:r>
    </w:p>
    <w:p>
      <w:pPr>
        <w:ind w:firstLine="640" w:firstLineChars="200"/>
        <w:rPr>
          <w:rFonts w:ascii="仿宋" w:hAnsi="仿宋" w:eastAsia="仿宋"/>
          <w:sz w:val="32"/>
          <w:szCs w:val="32"/>
        </w:rPr>
      </w:pPr>
      <w:r>
        <w:rPr>
          <w:rFonts w:hint="eastAsia" w:ascii="仿宋" w:hAnsi="仿宋" w:eastAsia="仿宋"/>
          <w:sz w:val="32"/>
          <w:szCs w:val="32"/>
        </w:rPr>
        <w:t>五、时限要求：2021年7月15日前完成印刷并发行。</w:t>
      </w:r>
    </w:p>
    <w:p>
      <w:pPr>
        <w:ind w:firstLine="640" w:firstLineChars="200"/>
        <w:rPr>
          <w:rFonts w:ascii="仿宋" w:hAnsi="仿宋" w:eastAsia="仿宋"/>
          <w:sz w:val="32"/>
          <w:szCs w:val="32"/>
        </w:rPr>
      </w:pPr>
      <w:r>
        <w:rPr>
          <w:rFonts w:hint="eastAsia" w:ascii="仿宋" w:hAnsi="仿宋" w:eastAsia="仿宋"/>
          <w:sz w:val="32"/>
          <w:szCs w:val="32"/>
        </w:rPr>
        <w:t>六</w:t>
      </w:r>
      <w:r>
        <w:rPr>
          <w:rFonts w:ascii="仿宋" w:hAnsi="仿宋" w:eastAsia="仿宋"/>
          <w:sz w:val="32"/>
          <w:szCs w:val="32"/>
        </w:rPr>
        <w:t>、</w:t>
      </w:r>
      <w:r>
        <w:rPr>
          <w:rFonts w:hint="eastAsia" w:ascii="仿宋" w:hAnsi="仿宋" w:eastAsia="仿宋"/>
          <w:sz w:val="32"/>
          <w:szCs w:val="32"/>
        </w:rPr>
        <w:t>谈判</w:t>
      </w:r>
      <w:r>
        <w:rPr>
          <w:rFonts w:ascii="仿宋" w:hAnsi="仿宋" w:eastAsia="仿宋"/>
          <w:sz w:val="32"/>
          <w:szCs w:val="32"/>
        </w:rPr>
        <w:t>有关说明</w:t>
      </w:r>
    </w:p>
    <w:p>
      <w:pPr>
        <w:ind w:firstLine="640" w:firstLineChars="200"/>
        <w:rPr>
          <w:rFonts w:ascii="仿宋" w:hAnsi="仿宋" w:eastAsia="仿宋"/>
          <w:sz w:val="32"/>
          <w:szCs w:val="32"/>
        </w:rPr>
      </w:pPr>
      <w:r>
        <w:rPr>
          <w:rFonts w:ascii="仿宋" w:hAnsi="仿宋" w:eastAsia="仿宋"/>
          <w:sz w:val="32"/>
          <w:szCs w:val="32"/>
        </w:rPr>
        <w:t>（一）凡有意参加</w:t>
      </w:r>
      <w:r>
        <w:rPr>
          <w:rFonts w:hint="eastAsia" w:ascii="仿宋" w:hAnsi="仿宋" w:eastAsia="仿宋"/>
          <w:sz w:val="32"/>
          <w:szCs w:val="32"/>
        </w:rPr>
        <w:t>询价</w:t>
      </w:r>
      <w:r>
        <w:rPr>
          <w:rFonts w:ascii="仿宋" w:hAnsi="仿宋" w:eastAsia="仿宋"/>
          <w:sz w:val="32"/>
          <w:szCs w:val="32"/>
        </w:rPr>
        <w:t>的供应商，请在</w:t>
      </w:r>
      <w:r>
        <w:rPr>
          <w:rFonts w:hint="eastAsia" w:ascii="仿宋" w:hAnsi="仿宋" w:eastAsia="仿宋"/>
          <w:sz w:val="32"/>
          <w:szCs w:val="32"/>
        </w:rPr>
        <w:t>昆明信息港</w:t>
      </w:r>
      <w:r>
        <w:rPr>
          <w:rFonts w:ascii="仿宋" w:hAnsi="仿宋" w:eastAsia="仿宋"/>
          <w:sz w:val="32"/>
          <w:szCs w:val="32"/>
        </w:rPr>
        <w:t>（</w:t>
      </w:r>
      <w:r>
        <w:rPr>
          <w:rFonts w:hint="eastAsia" w:ascii="仿宋" w:hAnsi="仿宋" w:eastAsia="仿宋"/>
          <w:sz w:val="32"/>
          <w:szCs w:val="32"/>
        </w:rPr>
        <w:t>www.kunming.cn</w:t>
      </w:r>
      <w:r>
        <w:rPr>
          <w:rFonts w:ascii="仿宋" w:hAnsi="仿宋" w:eastAsia="仿宋"/>
          <w:sz w:val="32"/>
          <w:szCs w:val="32"/>
        </w:rPr>
        <w:t>）下载本项目</w:t>
      </w:r>
      <w:r>
        <w:rPr>
          <w:rFonts w:hint="eastAsia" w:ascii="仿宋" w:hAnsi="仿宋" w:eastAsia="仿宋"/>
          <w:sz w:val="32"/>
          <w:szCs w:val="32"/>
        </w:rPr>
        <w:t>谈判</w:t>
      </w:r>
      <w:r>
        <w:rPr>
          <w:rFonts w:ascii="仿宋" w:hAnsi="仿宋" w:eastAsia="仿宋"/>
          <w:sz w:val="32"/>
          <w:szCs w:val="32"/>
        </w:rPr>
        <w:t>文件、无论供应商下载与否，均视为已知晓所有</w:t>
      </w:r>
      <w:r>
        <w:rPr>
          <w:rFonts w:hint="eastAsia" w:ascii="仿宋" w:hAnsi="仿宋" w:eastAsia="仿宋"/>
          <w:sz w:val="32"/>
          <w:szCs w:val="32"/>
        </w:rPr>
        <w:t>谈判</w:t>
      </w:r>
      <w:r>
        <w:rPr>
          <w:rFonts w:ascii="仿宋" w:hAnsi="仿宋" w:eastAsia="仿宋"/>
          <w:sz w:val="32"/>
          <w:szCs w:val="32"/>
        </w:rPr>
        <w:t>内容。</w:t>
      </w:r>
    </w:p>
    <w:p>
      <w:pPr>
        <w:ind w:firstLine="640" w:firstLineChars="200"/>
        <w:rPr>
          <w:rFonts w:ascii="仿宋" w:hAnsi="仿宋" w:eastAsia="仿宋"/>
          <w:sz w:val="32"/>
          <w:szCs w:val="32"/>
        </w:rPr>
      </w:pPr>
      <w:r>
        <w:rPr>
          <w:rFonts w:ascii="仿宋" w:hAnsi="仿宋" w:eastAsia="仿宋"/>
          <w:sz w:val="32"/>
          <w:szCs w:val="32"/>
        </w:rPr>
        <w:t>（二）文件公告期限：20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lang w:val="en-US" w:eastAsia="zh-CN"/>
        </w:rPr>
        <w:t>9</w:t>
      </w:r>
      <w:r>
        <w:rPr>
          <w:rFonts w:ascii="仿宋" w:hAnsi="仿宋" w:eastAsia="仿宋"/>
          <w:sz w:val="32"/>
          <w:szCs w:val="32"/>
        </w:rPr>
        <w:t>日至</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1</w:t>
      </w:r>
      <w:r>
        <w:rPr>
          <w:rFonts w:hint="eastAsia" w:ascii="仿宋" w:hAnsi="仿宋" w:eastAsia="仿宋"/>
          <w:sz w:val="32"/>
          <w:szCs w:val="32"/>
          <w:lang w:val="en-US" w:eastAsia="zh-CN"/>
        </w:rPr>
        <w:t>3</w:t>
      </w:r>
      <w:r>
        <w:rPr>
          <w:rFonts w:ascii="仿宋" w:hAnsi="仿宋" w:eastAsia="仿宋"/>
          <w:sz w:val="32"/>
          <w:szCs w:val="32"/>
        </w:rPr>
        <w:t>日。</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cs="宋体"/>
          <w:kern w:val="0"/>
          <w:sz w:val="32"/>
          <w:szCs w:val="32"/>
        </w:rPr>
        <w:t>递交磋商响应文件的截止时间及地点：</w:t>
      </w:r>
      <w:r>
        <w:rPr>
          <w:rFonts w:hint="eastAsia" w:ascii="仿宋" w:hAnsi="仿宋" w:eastAsia="仿宋" w:cs="宋体"/>
          <w:b/>
          <w:kern w:val="0"/>
          <w:sz w:val="32"/>
          <w:szCs w:val="32"/>
        </w:rPr>
        <w:t>2021年7月1</w:t>
      </w:r>
      <w:r>
        <w:rPr>
          <w:rFonts w:hint="eastAsia" w:ascii="仿宋" w:hAnsi="仿宋" w:eastAsia="仿宋" w:cs="宋体"/>
          <w:b/>
          <w:kern w:val="0"/>
          <w:sz w:val="32"/>
          <w:szCs w:val="32"/>
          <w:lang w:val="en-US" w:eastAsia="zh-CN"/>
        </w:rPr>
        <w:t>4</w:t>
      </w:r>
      <w:r>
        <w:rPr>
          <w:rFonts w:hint="eastAsia" w:ascii="仿宋" w:hAnsi="仿宋" w:eastAsia="仿宋" w:cs="宋体"/>
          <w:b/>
          <w:kern w:val="0"/>
          <w:sz w:val="32"/>
          <w:szCs w:val="32"/>
        </w:rPr>
        <w:t>日10：00前，</w:t>
      </w:r>
      <w:r>
        <w:rPr>
          <w:rFonts w:hint="eastAsia" w:ascii="仿宋" w:hAnsi="仿宋" w:eastAsia="仿宋" w:cs="仿宋_GB2312"/>
          <w:kern w:val="0"/>
          <w:sz w:val="32"/>
          <w:szCs w:val="32"/>
        </w:rPr>
        <w:t>昆明市丹霞路198号昆明市新闻中心8楼803室</w:t>
      </w:r>
      <w:r>
        <w:rPr>
          <w:rFonts w:hint="eastAsia" w:ascii="仿宋" w:hAnsi="仿宋" w:eastAsia="仿宋" w:cs="宋体"/>
          <w:kern w:val="0"/>
          <w:sz w:val="32"/>
          <w:szCs w:val="32"/>
        </w:rPr>
        <w:t>。</w:t>
      </w:r>
      <w:r>
        <w:rPr>
          <w:rFonts w:hint="eastAsia" w:ascii="仿宋" w:hAnsi="仿宋" w:eastAsia="仿宋" w:cs="宋体"/>
          <w:b/>
          <w:kern w:val="0"/>
          <w:sz w:val="32"/>
          <w:szCs w:val="32"/>
        </w:rPr>
        <w:t>逾期送达按无效投标处理</w:t>
      </w:r>
      <w:r>
        <w:rPr>
          <w:rFonts w:hint="eastAsia" w:ascii="仿宋" w:hAnsi="仿宋" w:eastAsia="仿宋" w:cs="宋体"/>
          <w:kern w:val="0"/>
          <w:sz w:val="32"/>
          <w:szCs w:val="32"/>
        </w:rPr>
        <w:t>。联系人：张老师</w:t>
      </w:r>
      <w:r>
        <w:rPr>
          <w:rFonts w:ascii="仿宋" w:hAnsi="仿宋" w:eastAsia="仿宋" w:cs="宋体"/>
          <w:kern w:val="0"/>
          <w:sz w:val="32"/>
          <w:szCs w:val="32"/>
        </w:rPr>
        <w:t>13888716326</w:t>
      </w:r>
      <w:r>
        <w:rPr>
          <w:rFonts w:hint="eastAsia" w:ascii="仿宋" w:hAnsi="仿宋" w:eastAsia="仿宋" w:cs="宋体"/>
          <w:kern w:val="0"/>
          <w:sz w:val="32"/>
          <w:szCs w:val="32"/>
        </w:rPr>
        <w:t>；张老师 18669015411</w:t>
      </w:r>
    </w:p>
    <w:p>
      <w:pPr>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谈判响应</w:t>
      </w:r>
      <w:r>
        <w:rPr>
          <w:rFonts w:ascii="仿宋" w:hAnsi="仿宋" w:eastAsia="仿宋"/>
          <w:sz w:val="32"/>
          <w:szCs w:val="32"/>
        </w:rPr>
        <w:t>文件主要包括以下部分：</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1.谈判响应文件封面</w:t>
      </w:r>
      <w:r>
        <w:rPr>
          <w:rFonts w:hint="eastAsia" w:ascii="仿宋" w:hAnsi="仿宋" w:eastAsia="仿宋" w:cs="宋体"/>
          <w:kern w:val="0"/>
          <w:sz w:val="32"/>
          <w:szCs w:val="32"/>
        </w:rPr>
        <w:t>（格式见附件1）</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r>
        <w:rPr>
          <w:rFonts w:hint="eastAsia" w:ascii="仿宋" w:hAnsi="仿宋" w:eastAsia="仿宋" w:cs="宋体"/>
          <w:kern w:val="0"/>
          <w:sz w:val="32"/>
          <w:szCs w:val="32"/>
        </w:rPr>
        <w:t>（见附件3）</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r>
        <w:rPr>
          <w:rFonts w:hint="eastAsia" w:ascii="仿宋" w:hAnsi="仿宋" w:eastAsia="仿宋" w:cs="宋体"/>
          <w:kern w:val="0"/>
          <w:sz w:val="32"/>
          <w:szCs w:val="32"/>
        </w:rPr>
        <w:t>（格式见附件4）</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r>
        <w:rPr>
          <w:rFonts w:hint="eastAsia" w:ascii="仿宋" w:hAnsi="仿宋" w:eastAsia="仿宋" w:cs="宋体"/>
          <w:kern w:val="0"/>
          <w:sz w:val="32"/>
          <w:szCs w:val="32"/>
        </w:rPr>
        <w:t>（格式见附件5）</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r>
        <w:rPr>
          <w:rFonts w:hint="eastAsia" w:ascii="仿宋" w:hAnsi="仿宋" w:eastAsia="仿宋" w:cs="宋体"/>
          <w:kern w:val="0"/>
          <w:sz w:val="32"/>
          <w:szCs w:val="32"/>
        </w:rPr>
        <w:t>（格式见附件6）</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r>
        <w:rPr>
          <w:rFonts w:hint="eastAsia" w:ascii="仿宋" w:hAnsi="仿宋" w:eastAsia="仿宋" w:cs="宋体"/>
          <w:kern w:val="0"/>
          <w:sz w:val="32"/>
          <w:szCs w:val="32"/>
        </w:rPr>
        <w:t>（格式见附件7）及业绩证明文件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r>
        <w:rPr>
          <w:rFonts w:hint="eastAsia" w:ascii="仿宋" w:hAnsi="仿宋" w:eastAsia="仿宋" w:cs="宋体"/>
          <w:kern w:val="0"/>
          <w:sz w:val="32"/>
          <w:szCs w:val="32"/>
        </w:rPr>
        <w:t>（格式见附件8）</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r>
        <w:rPr>
          <w:rFonts w:hint="eastAsia" w:ascii="仿宋" w:hAnsi="仿宋" w:eastAsia="仿宋" w:cs="宋体"/>
          <w:kern w:val="0"/>
          <w:sz w:val="32"/>
          <w:szCs w:val="32"/>
        </w:rPr>
        <w:t>（格式见附件9）</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10.廉政自律承诺书</w:t>
      </w:r>
      <w:r>
        <w:rPr>
          <w:rFonts w:hint="eastAsia" w:ascii="仿宋" w:hAnsi="仿宋" w:eastAsia="仿宋" w:cs="宋体"/>
          <w:kern w:val="0"/>
          <w:sz w:val="32"/>
          <w:szCs w:val="32"/>
        </w:rPr>
        <w:t>（附件10）</w:t>
      </w:r>
    </w:p>
    <w:p>
      <w:pPr>
        <w:widowControl/>
        <w:spacing w:line="520" w:lineRule="exact"/>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供应商应按本谈判文件附件中提供的格式完整地填写</w:t>
      </w:r>
      <w:r>
        <w:rPr>
          <w:rFonts w:hint="eastAsia" w:ascii="仿宋" w:hAnsi="仿宋" w:eastAsia="仿宋" w:cs="宋体"/>
          <w:kern w:val="0"/>
          <w:sz w:val="32"/>
          <w:szCs w:val="32"/>
        </w:rPr>
        <w:t>谈判响应</w:t>
      </w:r>
      <w:r>
        <w:rPr>
          <w:rFonts w:hint="eastAsia" w:ascii="仿宋" w:hAnsi="仿宋" w:eastAsia="仿宋" w:cs="宋体"/>
          <w:b/>
          <w:kern w:val="0"/>
          <w:sz w:val="32"/>
          <w:szCs w:val="32"/>
        </w:rPr>
        <w:t>文件，没有提供格式的可以自行设计。</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（五）谈判响应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spacing w:line="520" w:lineRule="exact"/>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廉政自律承诺书（附件10）要求一式四份，响应文件正、副本中各装订一份，单独提交一份由采购人纪检监察部门备案，乙方持有一份。</w:t>
      </w:r>
    </w:p>
    <w:p>
      <w:pPr>
        <w:spacing w:line="520" w:lineRule="exact"/>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七、相关要求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（一）本项目采用包干总价的形式进行报价，采购最高限价</w:t>
      </w:r>
      <w:r>
        <w:rPr>
          <w:rFonts w:hint="eastAsia" w:ascii="仿宋" w:hAnsi="仿宋" w:eastAsia="仿宋" w:cs="仿宋_GB2312"/>
          <w:color w:val="000000"/>
          <w:kern w:val="0"/>
          <w:sz w:val="32"/>
          <w:szCs w:val="32"/>
          <w:lang w:val="en-US" w:eastAsia="zh-CN"/>
        </w:rPr>
        <w:t>60000</w:t>
      </w:r>
      <w:bookmarkStart w:id="18" w:name="_GoBack"/>
      <w:bookmarkEnd w:id="18"/>
      <w:r>
        <w:rPr>
          <w:rFonts w:hint="eastAsia" w:ascii="仿宋" w:hAnsi="仿宋" w:eastAsia="仿宋" w:cs="仿宋_GB2312"/>
          <w:color w:val="000000"/>
          <w:kern w:val="0"/>
          <w:sz w:val="32"/>
          <w:szCs w:val="32"/>
        </w:rPr>
        <w:t>元，供应商的报价不得高于于本次采购最高限价，否则为无效标。</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（三）含在谈判范围内供应商没有考虑报价的项目，采购人将认为有关费用已包含在其报价之中，不另行支付。但供应商不得以低于企业的成本进行报价。</w:t>
      </w:r>
    </w:p>
    <w:p>
      <w:pPr>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cs="仿宋_GB2312"/>
          <w:color w:val="000000"/>
          <w:kern w:val="0"/>
          <w:sz w:val="32"/>
          <w:szCs w:val="32"/>
        </w:rPr>
        <w:t>本项目不接受联合体报价或分包、转包</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、竞争性</w:t>
      </w:r>
      <w:r>
        <w:rPr>
          <w:rFonts w:hint="eastAsia" w:ascii="仿宋" w:hAnsi="仿宋" w:eastAsia="仿宋"/>
          <w:sz w:val="32"/>
          <w:szCs w:val="32"/>
        </w:rPr>
        <w:t>谈判</w:t>
      </w:r>
      <w:r>
        <w:rPr>
          <w:rFonts w:ascii="仿宋" w:hAnsi="仿宋" w:eastAsia="仿宋"/>
          <w:sz w:val="32"/>
          <w:szCs w:val="32"/>
        </w:rPr>
        <w:t>流程</w:t>
      </w:r>
    </w:p>
    <w:p>
      <w:pPr>
        <w:ind w:firstLine="640" w:firstLineChars="200"/>
        <w:rPr>
          <w:rFonts w:ascii="仿宋" w:hAnsi="仿宋" w:eastAsia="仿宋"/>
          <w:sz w:val="32"/>
          <w:szCs w:val="32"/>
        </w:rPr>
      </w:pPr>
      <w:r>
        <w:rPr>
          <w:rFonts w:ascii="仿宋" w:hAnsi="仿宋" w:eastAsia="仿宋"/>
          <w:sz w:val="32"/>
          <w:szCs w:val="32"/>
        </w:rPr>
        <w:t>（一）磋商时间：20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7</w:t>
      </w:r>
      <w:r>
        <w:rPr>
          <w:rFonts w:ascii="仿宋" w:hAnsi="仿宋" w:eastAsia="仿宋"/>
          <w:sz w:val="32"/>
          <w:szCs w:val="32"/>
        </w:rPr>
        <w:t>月</w:t>
      </w: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日</w:t>
      </w: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0</w:t>
      </w:r>
      <w:r>
        <w:rPr>
          <w:rFonts w:ascii="仿宋" w:hAnsi="仿宋" w:eastAsia="仿宋"/>
          <w:sz w:val="32"/>
          <w:szCs w:val="32"/>
        </w:rPr>
        <w:t>0。</w:t>
      </w:r>
    </w:p>
    <w:p>
      <w:pPr>
        <w:ind w:firstLine="640" w:firstLineChars="200"/>
        <w:rPr>
          <w:rFonts w:ascii="仿宋" w:hAnsi="仿宋" w:eastAsia="仿宋"/>
          <w:sz w:val="32"/>
          <w:szCs w:val="32"/>
        </w:rPr>
      </w:pPr>
      <w:r>
        <w:rPr>
          <w:rFonts w:ascii="仿宋" w:hAnsi="仿宋" w:eastAsia="仿宋"/>
          <w:sz w:val="32"/>
          <w:szCs w:val="32"/>
        </w:rPr>
        <w:t>（二）磋商地点：</w:t>
      </w:r>
      <w:r>
        <w:rPr>
          <w:rFonts w:hint="eastAsia" w:ascii="仿宋" w:hAnsi="仿宋" w:eastAsia="仿宋" w:cs="仿宋_GB2312"/>
          <w:kern w:val="0"/>
          <w:sz w:val="32"/>
          <w:szCs w:val="32"/>
        </w:rPr>
        <w:t>昆明市丹霞路198号昆明市新闻中心8楼803室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谈判</w:t>
      </w:r>
      <w:r>
        <w:rPr>
          <w:rFonts w:ascii="仿宋" w:hAnsi="仿宋" w:eastAsia="仿宋"/>
          <w:sz w:val="32"/>
          <w:szCs w:val="32"/>
        </w:rPr>
        <w:t>方式：</w:t>
      </w:r>
      <w:r>
        <w:rPr>
          <w:rFonts w:hint="eastAsia" w:ascii="仿宋" w:hAnsi="仿宋" w:eastAsia="仿宋"/>
          <w:sz w:val="32"/>
          <w:szCs w:val="32"/>
        </w:rPr>
        <w:t>有意参与谈判的</w:t>
      </w:r>
      <w:r>
        <w:rPr>
          <w:rFonts w:ascii="仿宋" w:hAnsi="仿宋" w:eastAsia="仿宋"/>
          <w:sz w:val="32"/>
          <w:szCs w:val="32"/>
        </w:rPr>
        <w:t>供应商派出代表提前10分钟到场递交</w:t>
      </w:r>
      <w:r>
        <w:rPr>
          <w:rFonts w:hint="eastAsia" w:ascii="仿宋" w:hAnsi="仿宋" w:eastAsia="仿宋"/>
          <w:sz w:val="32"/>
          <w:szCs w:val="32"/>
        </w:rPr>
        <w:t>谈判响应</w:t>
      </w:r>
      <w:r>
        <w:rPr>
          <w:rFonts w:ascii="仿宋" w:hAnsi="仿宋" w:eastAsia="仿宋"/>
          <w:sz w:val="32"/>
          <w:szCs w:val="32"/>
        </w:rPr>
        <w:t>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副本复印件（加盖公章）、</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p>
    <w:p>
      <w:pPr>
        <w:ind w:firstLine="640" w:firstLineChars="200"/>
        <w:rPr>
          <w:rFonts w:ascii="仿宋" w:hAnsi="仿宋" w:eastAsia="仿宋"/>
          <w:sz w:val="32"/>
          <w:szCs w:val="32"/>
        </w:rPr>
      </w:pPr>
      <w:r>
        <w:rPr>
          <w:rFonts w:ascii="仿宋" w:hAnsi="仿宋" w:eastAsia="仿宋"/>
          <w:sz w:val="32"/>
          <w:szCs w:val="32"/>
        </w:rPr>
        <w:t>（四）成交原则：</w:t>
      </w:r>
      <w:r>
        <w:rPr>
          <w:rFonts w:hint="eastAsia" w:ascii="仿宋" w:hAnsi="仿宋" w:eastAsia="仿宋"/>
          <w:sz w:val="32"/>
          <w:szCs w:val="32"/>
        </w:rPr>
        <w:t>谈判小</w:t>
      </w:r>
      <w:r>
        <w:rPr>
          <w:rFonts w:ascii="仿宋" w:hAnsi="仿宋" w:eastAsia="仿宋"/>
          <w:sz w:val="32"/>
          <w:szCs w:val="32"/>
        </w:rPr>
        <w:t>组按照项目供应商的</w:t>
      </w:r>
      <w:r>
        <w:rPr>
          <w:rFonts w:hint="eastAsia" w:ascii="仿宋" w:hAnsi="仿宋" w:eastAsia="仿宋"/>
          <w:sz w:val="32"/>
          <w:szCs w:val="32"/>
        </w:rPr>
        <w:t>工作方案、类似业绩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项目经费预算等内容进行综合评定，综合得分最高的供应商为项目供应商候选人，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w:t>
      </w:r>
      <w:r>
        <w:rPr>
          <w:rFonts w:hint="eastAsia" w:ascii="仿宋" w:hAnsi="仿宋" w:eastAsia="仿宋"/>
          <w:sz w:val="32"/>
          <w:szCs w:val="32"/>
        </w:rPr>
        <w:t>谈判</w:t>
      </w:r>
      <w:r>
        <w:rPr>
          <w:rFonts w:ascii="仿宋" w:hAnsi="仿宋" w:eastAsia="仿宋"/>
          <w:sz w:val="32"/>
          <w:szCs w:val="32"/>
        </w:rPr>
        <w:t>程序及方法、评审标准、无效响应和采购终止</w:t>
      </w:r>
    </w:p>
    <w:p>
      <w:pPr>
        <w:ind w:firstLine="640" w:firstLineChars="200"/>
        <w:rPr>
          <w:rFonts w:ascii="仿宋" w:hAnsi="仿宋" w:eastAsia="仿宋"/>
          <w:sz w:val="32"/>
          <w:szCs w:val="32"/>
        </w:rPr>
      </w:pPr>
      <w:bookmarkStart w:id="0" w:name="_Toc485137803"/>
      <w:r>
        <w:rPr>
          <w:rFonts w:ascii="仿宋" w:hAnsi="仿宋" w:eastAsia="仿宋"/>
          <w:sz w:val="32"/>
          <w:szCs w:val="32"/>
        </w:rPr>
        <w:t>（一）</w:t>
      </w:r>
      <w:r>
        <w:rPr>
          <w:rFonts w:hint="eastAsia" w:ascii="仿宋" w:hAnsi="仿宋" w:eastAsia="仿宋"/>
          <w:sz w:val="32"/>
          <w:szCs w:val="32"/>
        </w:rPr>
        <w:t>谈判</w:t>
      </w:r>
      <w:r>
        <w:rPr>
          <w:rFonts w:ascii="仿宋" w:hAnsi="仿宋" w:eastAsia="仿宋"/>
          <w:sz w:val="32"/>
          <w:szCs w:val="32"/>
        </w:rPr>
        <w:t>程序及方法</w:t>
      </w:r>
      <w:bookmarkEnd w:id="0"/>
    </w:p>
    <w:p>
      <w:pPr>
        <w:ind w:firstLine="640" w:firstLineChars="200"/>
        <w:rPr>
          <w:rFonts w:ascii="仿宋" w:hAnsi="仿宋" w:eastAsia="仿宋"/>
          <w:sz w:val="32"/>
          <w:szCs w:val="32"/>
        </w:rPr>
      </w:pPr>
      <w:r>
        <w:rPr>
          <w:rFonts w:hint="eastAsia" w:ascii="仿宋" w:hAnsi="仿宋" w:eastAsia="仿宋"/>
          <w:sz w:val="32"/>
          <w:szCs w:val="32"/>
        </w:rPr>
        <w:t>1.谈判</w:t>
      </w:r>
      <w:r>
        <w:rPr>
          <w:rFonts w:ascii="仿宋" w:hAnsi="仿宋" w:eastAsia="仿宋"/>
          <w:sz w:val="32"/>
          <w:szCs w:val="32"/>
        </w:rPr>
        <w:t>按竞争性磋商文件规定的时间和地点进行，供应商须有法定代表人或其授权代表参加并签到。</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.谈判</w:t>
      </w:r>
      <w:r>
        <w:rPr>
          <w:rFonts w:ascii="仿宋" w:hAnsi="仿宋" w:eastAsia="仿宋"/>
          <w:sz w:val="32"/>
          <w:szCs w:val="32"/>
        </w:rPr>
        <w:t>小组对各供应商的资格条件、响应文件的有效性、完整性和响应程度进行审查。</w:t>
      </w:r>
    </w:p>
    <w:p>
      <w:pPr>
        <w:ind w:firstLine="640" w:firstLineChars="200"/>
        <w:rPr>
          <w:rFonts w:ascii="仿宋" w:hAnsi="仿宋" w:eastAsia="仿宋"/>
          <w:sz w:val="32"/>
          <w:szCs w:val="32"/>
        </w:rPr>
      </w:pPr>
      <w:r>
        <w:rPr>
          <w:rFonts w:ascii="仿宋" w:hAnsi="仿宋" w:eastAsia="仿宋"/>
          <w:sz w:val="32"/>
          <w:szCs w:val="32"/>
        </w:rPr>
        <w:t>2.1资格性检查。依据法律法规和竞争性</w:t>
      </w:r>
      <w:r>
        <w:rPr>
          <w:rFonts w:hint="eastAsia" w:ascii="仿宋" w:hAnsi="仿宋" w:eastAsia="仿宋"/>
          <w:sz w:val="32"/>
          <w:szCs w:val="32"/>
        </w:rPr>
        <w:t>谈判</w:t>
      </w:r>
      <w:r>
        <w:rPr>
          <w:rFonts w:ascii="仿宋" w:hAnsi="仿宋" w:eastAsia="仿宋"/>
          <w:sz w:val="32"/>
          <w:szCs w:val="32"/>
        </w:rPr>
        <w:t>文件的规定，对响应文件中的资格证明等进行审查</w:t>
      </w:r>
      <w:r>
        <w:rPr>
          <w:rFonts w:hint="eastAsia" w:ascii="仿宋" w:hAnsi="仿宋" w:eastAsia="仿宋"/>
          <w:sz w:val="32"/>
          <w:szCs w:val="32"/>
        </w:rPr>
        <w:t>。</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t>2.2符合性检查。依据竞争性</w:t>
      </w:r>
      <w:r>
        <w:rPr>
          <w:rFonts w:hint="eastAsia" w:ascii="仿宋" w:hAnsi="仿宋" w:eastAsia="仿宋"/>
          <w:sz w:val="32"/>
          <w:szCs w:val="32"/>
        </w:rPr>
        <w:t>谈判</w:t>
      </w:r>
      <w:r>
        <w:rPr>
          <w:rFonts w:ascii="仿宋" w:hAnsi="仿宋" w:eastAsia="仿宋"/>
          <w:sz w:val="32"/>
          <w:szCs w:val="32"/>
        </w:rPr>
        <w:t>文件的规定，从响应文件的有效性、完整性和对竞争性</w:t>
      </w:r>
      <w:r>
        <w:rPr>
          <w:rFonts w:hint="eastAsia" w:ascii="仿宋" w:hAnsi="仿宋" w:eastAsia="仿宋"/>
          <w:sz w:val="32"/>
          <w:szCs w:val="32"/>
        </w:rPr>
        <w:t>谈判</w:t>
      </w:r>
      <w:r>
        <w:rPr>
          <w:rFonts w:ascii="仿宋" w:hAnsi="仿宋" w:eastAsia="仿宋"/>
          <w:sz w:val="32"/>
          <w:szCs w:val="32"/>
        </w:rPr>
        <w:t>文件的响应程度进行审查，以确定是否对竞争性</w:t>
      </w:r>
      <w:r>
        <w:rPr>
          <w:rFonts w:hint="eastAsia" w:ascii="仿宋" w:hAnsi="仿宋" w:eastAsia="仿宋"/>
          <w:sz w:val="32"/>
          <w:szCs w:val="32"/>
        </w:rPr>
        <w:t>谈判</w:t>
      </w:r>
      <w:r>
        <w:rPr>
          <w:rFonts w:ascii="仿宋" w:hAnsi="仿宋" w:eastAsia="仿宋"/>
          <w:sz w:val="32"/>
          <w:szCs w:val="32"/>
        </w:rPr>
        <w:t>文件的实质性要求作出响应。</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澄清有关问题。</w:t>
      </w:r>
      <w:r>
        <w:rPr>
          <w:rFonts w:hint="eastAsia" w:ascii="仿宋" w:hAnsi="仿宋" w:eastAsia="仿宋"/>
          <w:sz w:val="32"/>
          <w:szCs w:val="32"/>
        </w:rPr>
        <w:t>谈判</w:t>
      </w:r>
      <w:r>
        <w:rPr>
          <w:rFonts w:ascii="仿宋" w:hAnsi="仿宋" w:eastAsia="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.谈判</w:t>
      </w:r>
      <w:r>
        <w:rPr>
          <w:rFonts w:ascii="仿宋" w:hAnsi="仿宋" w:eastAsia="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.谈判</w:t>
      </w:r>
      <w:r>
        <w:rPr>
          <w:rFonts w:ascii="仿宋" w:hAnsi="仿宋" w:eastAsia="仿宋"/>
          <w:sz w:val="32"/>
          <w:szCs w:val="32"/>
        </w:rPr>
        <w:t>小组采用综合评分法对供应商的响应文件进行综合评分。综合评分法，是指响应文件满足竞争性</w:t>
      </w:r>
      <w:r>
        <w:rPr>
          <w:rFonts w:hint="eastAsia" w:ascii="仿宋" w:hAnsi="仿宋" w:eastAsia="仿宋"/>
          <w:sz w:val="32"/>
          <w:szCs w:val="32"/>
        </w:rPr>
        <w:t>谈判</w:t>
      </w:r>
      <w:r>
        <w:rPr>
          <w:rFonts w:ascii="仿宋" w:hAnsi="仿宋" w:eastAsia="仿宋"/>
          <w:sz w:val="32"/>
          <w:szCs w:val="32"/>
        </w:rPr>
        <w:t>文件全部实质性要求且按照评审因素的量化指标评审得分最高的供应商为成交候选供应商的评审方法。供应商总得分为</w:t>
      </w:r>
      <w:r>
        <w:rPr>
          <w:rFonts w:hint="eastAsia" w:ascii="仿宋" w:hAnsi="仿宋" w:eastAsia="仿宋"/>
          <w:sz w:val="32"/>
          <w:szCs w:val="32"/>
        </w:rPr>
        <w:t>对项目的理解和创意</w:t>
      </w:r>
      <w:r>
        <w:rPr>
          <w:rFonts w:ascii="仿宋" w:hAnsi="仿宋" w:eastAsia="仿宋"/>
          <w:sz w:val="32"/>
          <w:szCs w:val="32"/>
        </w:rPr>
        <w:t>、项目执行能力、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(二)评审标准</w:t>
      </w:r>
    </w:p>
    <w:tbl>
      <w:tblPr>
        <w:tblStyle w:val="11"/>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bookmarkStart w:id="1" w:name="_Toc485137805"/>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ascii="仿宋" w:hAnsi="仿宋" w:eastAsia="仿宋"/>
                <w:sz w:val="18"/>
                <w:szCs w:val="18"/>
              </w:rPr>
              <w:t>项目执行能力</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25-19</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18-12</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11-6</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服务方案及承诺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25-19</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18-12</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11-6</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1.提供10万元及以上有效相似业绩及证明材料的，得业绩基本分3分。</w:t>
            </w:r>
          </w:p>
          <w:p>
            <w:pPr>
              <w:jc w:val="left"/>
              <w:rPr>
                <w:rFonts w:ascii="仿宋" w:hAnsi="仿宋" w:eastAsia="仿宋"/>
                <w:sz w:val="18"/>
                <w:szCs w:val="18"/>
              </w:rPr>
            </w:pPr>
            <w:r>
              <w:rPr>
                <w:rFonts w:hint="eastAsia" w:ascii="仿宋" w:hAnsi="仿宋" w:eastAsia="仿宋"/>
                <w:sz w:val="18"/>
                <w:szCs w:val="18"/>
              </w:rPr>
              <w:t>2.提供10万元及以上有效相似业绩数2个及证明材料的，得业绩分6分；</w:t>
            </w:r>
          </w:p>
          <w:p>
            <w:pPr>
              <w:jc w:val="left"/>
              <w:rPr>
                <w:rFonts w:ascii="仿宋" w:hAnsi="仿宋" w:eastAsia="仿宋"/>
                <w:sz w:val="18"/>
                <w:szCs w:val="18"/>
              </w:rPr>
            </w:pPr>
            <w:r>
              <w:rPr>
                <w:rFonts w:hint="eastAsia" w:ascii="仿宋" w:hAnsi="仿宋" w:eastAsia="仿宋"/>
                <w:sz w:val="18"/>
                <w:szCs w:val="18"/>
              </w:rPr>
              <w:t>3.提供10万元及以上有效相似业绩数3个及证明材料的，得业绩分10分。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40</w:t>
            </w:r>
          </w:p>
        </w:tc>
        <w:tc>
          <w:tcPr>
            <w:tcW w:w="6246" w:type="dxa"/>
            <w:gridSpan w:val="4"/>
            <w:tcBorders>
              <w:top w:val="single" w:color="auto" w:sz="4" w:space="0"/>
            </w:tcBorders>
            <w:vAlign w:val="center"/>
          </w:tcPr>
          <w:p>
            <w:pPr>
              <w:spacing w:line="360" w:lineRule="auto"/>
              <w:rPr>
                <w:rFonts w:ascii="仿宋" w:hAnsi="仿宋" w:eastAsia="仿宋"/>
                <w:sz w:val="18"/>
                <w:szCs w:val="18"/>
              </w:rPr>
            </w:pPr>
            <w:r>
              <w:rPr>
                <w:rFonts w:hint="eastAsia" w:ascii="仿宋" w:hAnsi="仿宋" w:eastAsia="仿宋"/>
                <w:sz w:val="18"/>
                <w:szCs w:val="18"/>
              </w:rPr>
              <w:t>满足竞争性磋商文件要求且磋商价格（二次报价）最低的磋商报价为磋商基准价，其磋商报价分值为40分。其他供应商的磋商报价分值统一按照下列公式计算：</w:t>
            </w:r>
          </w:p>
          <w:p>
            <w:pPr>
              <w:spacing w:line="360" w:lineRule="auto"/>
              <w:ind w:firstLine="540" w:firstLineChars="300"/>
              <w:rPr>
                <w:rFonts w:ascii="仿宋" w:hAnsi="仿宋" w:eastAsia="仿宋"/>
                <w:sz w:val="18"/>
                <w:szCs w:val="18"/>
              </w:rPr>
            </w:pPr>
            <w:r>
              <w:rPr>
                <w:rFonts w:hint="eastAsia" w:ascii="仿宋" w:hAnsi="仿宋" w:eastAsia="仿宋"/>
                <w:sz w:val="18"/>
                <w:szCs w:val="18"/>
              </w:rPr>
              <w:t>磋商报价得分=【磋商基准价／磋商报价（供应商的二次报价）】×40</w:t>
            </w:r>
          </w:p>
          <w:p>
            <w:pPr>
              <w:ind w:firstLine="360" w:firstLineChars="200"/>
              <w:rPr>
                <w:rFonts w:ascii="仿宋" w:hAnsi="仿宋" w:eastAsia="仿宋"/>
                <w:sz w:val="18"/>
                <w:szCs w:val="18"/>
              </w:rPr>
            </w:pPr>
          </w:p>
        </w:tc>
      </w:tr>
    </w:tbl>
    <w:p>
      <w:pPr>
        <w:ind w:firstLine="640" w:firstLineChars="200"/>
        <w:rPr>
          <w:rFonts w:ascii="仿宋" w:hAnsi="仿宋" w:eastAsia="仿宋"/>
          <w:sz w:val="32"/>
          <w:szCs w:val="32"/>
        </w:rPr>
      </w:pPr>
      <w:r>
        <w:rPr>
          <w:rFonts w:ascii="仿宋" w:hAnsi="仿宋" w:eastAsia="仿宋"/>
          <w:sz w:val="32"/>
          <w:szCs w:val="32"/>
        </w:rPr>
        <w:t>（三）无效响应</w:t>
      </w:r>
      <w:bookmarkEnd w:id="1"/>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w:t>
      </w:r>
      <w:r>
        <w:rPr>
          <w:rFonts w:hint="eastAsia" w:ascii="仿宋" w:hAnsi="仿宋" w:eastAsia="仿宋"/>
          <w:sz w:val="32"/>
          <w:szCs w:val="32"/>
        </w:rPr>
        <w:t>谈判</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w:t>
      </w:r>
      <w:r>
        <w:rPr>
          <w:rFonts w:hint="eastAsia" w:ascii="仿宋" w:hAnsi="仿宋" w:eastAsia="仿宋"/>
          <w:sz w:val="32"/>
          <w:szCs w:val="32"/>
        </w:rPr>
        <w:t>谈判</w:t>
      </w:r>
      <w:r>
        <w:rPr>
          <w:rFonts w:ascii="仿宋" w:hAnsi="仿宋" w:eastAsia="仿宋"/>
          <w:sz w:val="32"/>
          <w:szCs w:val="32"/>
        </w:rPr>
        <w:t>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 w:name="_Toc485137806"/>
      <w:r>
        <w:rPr>
          <w:rFonts w:ascii="仿宋" w:hAnsi="仿宋" w:eastAsia="仿宋"/>
          <w:sz w:val="32"/>
          <w:szCs w:val="32"/>
        </w:rPr>
        <w:t>（四）采购终止</w:t>
      </w:r>
      <w:bookmarkEnd w:id="2"/>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w:t>
      </w:r>
      <w:r>
        <w:rPr>
          <w:rFonts w:hint="eastAsia" w:ascii="仿宋" w:hAnsi="仿宋" w:eastAsia="仿宋"/>
          <w:sz w:val="32"/>
          <w:szCs w:val="32"/>
        </w:rPr>
        <w:t>谈判</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w:t>
      </w:r>
      <w:r>
        <w:rPr>
          <w:rFonts w:hint="eastAsia" w:ascii="仿宋" w:hAnsi="仿宋" w:eastAsia="仿宋"/>
          <w:sz w:val="32"/>
          <w:szCs w:val="32"/>
        </w:rPr>
        <w:t>谈判</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r>
        <w:rPr>
          <w:rFonts w:hint="eastAsia" w:ascii="仿宋" w:hAnsi="仿宋" w:eastAsia="仿宋"/>
          <w:sz w:val="32"/>
          <w:szCs w:val="32"/>
        </w:rPr>
        <w:t>十</w:t>
      </w:r>
      <w:r>
        <w:rPr>
          <w:rFonts w:ascii="仿宋" w:hAnsi="仿宋" w:eastAsia="仿宋"/>
          <w:sz w:val="32"/>
          <w:szCs w:val="32"/>
        </w:rPr>
        <w:t>、成交通知</w:t>
      </w:r>
    </w:p>
    <w:p>
      <w:pPr>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经公示后，</w:t>
      </w:r>
      <w:r>
        <w:rPr>
          <w:rFonts w:ascii="仿宋" w:hAnsi="仿宋" w:eastAsia="仿宋"/>
          <w:sz w:val="32"/>
          <w:szCs w:val="32"/>
        </w:rPr>
        <w:t>采购人</w:t>
      </w:r>
      <w:r>
        <w:rPr>
          <w:rFonts w:hint="eastAsia" w:ascii="仿宋" w:hAnsi="仿宋" w:eastAsia="仿宋"/>
          <w:sz w:val="32"/>
          <w:szCs w:val="32"/>
        </w:rPr>
        <w:t>向</w:t>
      </w:r>
      <w:r>
        <w:rPr>
          <w:rFonts w:ascii="仿宋" w:hAnsi="仿宋" w:eastAsia="仿宋"/>
          <w:sz w:val="32"/>
          <w:szCs w:val="32"/>
        </w:rPr>
        <w:t>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（二）成交供应商在接通知后3个工作日内与采购人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、签订合同</w:t>
      </w:r>
    </w:p>
    <w:p>
      <w:pPr>
        <w:ind w:firstLine="640" w:firstLineChars="200"/>
        <w:rPr>
          <w:rFonts w:ascii="仿宋" w:hAnsi="仿宋" w:eastAsia="仿宋"/>
          <w:sz w:val="32"/>
          <w:szCs w:val="32"/>
        </w:rPr>
      </w:pPr>
      <w:r>
        <w:rPr>
          <w:rFonts w:ascii="仿宋" w:hAnsi="仿宋" w:eastAsia="仿宋"/>
          <w:sz w:val="32"/>
          <w:szCs w:val="32"/>
        </w:rPr>
        <w:t>（一）成交供应商按成交通知指定时间、地点与采购人签订采购合同。</w:t>
      </w:r>
    </w:p>
    <w:p>
      <w:pPr>
        <w:ind w:firstLine="640" w:firstLineChars="200"/>
        <w:rPr>
          <w:rFonts w:ascii="仿宋" w:hAnsi="仿宋" w:eastAsia="仿宋"/>
          <w:sz w:val="32"/>
          <w:szCs w:val="32"/>
        </w:rPr>
      </w:pPr>
      <w:r>
        <w:rPr>
          <w:rFonts w:ascii="仿宋" w:hAnsi="仿宋" w:eastAsia="仿宋"/>
          <w:sz w:val="32"/>
          <w:szCs w:val="32"/>
        </w:rPr>
        <w:t>（二）竞争性</w:t>
      </w:r>
      <w:r>
        <w:rPr>
          <w:rFonts w:hint="eastAsia" w:ascii="仿宋" w:hAnsi="仿宋" w:eastAsia="仿宋"/>
          <w:sz w:val="32"/>
          <w:szCs w:val="32"/>
        </w:rPr>
        <w:t>谈判</w:t>
      </w:r>
      <w:r>
        <w:rPr>
          <w:rFonts w:ascii="仿宋" w:hAnsi="仿宋" w:eastAsia="仿宋"/>
          <w:sz w:val="32"/>
          <w:szCs w:val="32"/>
        </w:rPr>
        <w:t>文件、成交供应商的</w:t>
      </w:r>
      <w:r>
        <w:rPr>
          <w:rFonts w:hint="eastAsia" w:ascii="仿宋" w:hAnsi="仿宋" w:eastAsia="仿宋"/>
          <w:sz w:val="32"/>
          <w:szCs w:val="32"/>
        </w:rPr>
        <w:t>谈判响应</w:t>
      </w:r>
      <w:r>
        <w:rPr>
          <w:rFonts w:ascii="仿宋" w:hAnsi="仿宋" w:eastAsia="仿宋"/>
          <w:sz w:val="32"/>
          <w:szCs w:val="32"/>
        </w:rPr>
        <w:t>文件及有效承诺文件等，均为签订合同的依据。</w:t>
      </w:r>
    </w:p>
    <w:p>
      <w:pPr>
        <w:spacing w:line="600" w:lineRule="exact"/>
        <w:ind w:firstLine="640" w:firstLineChars="200"/>
        <w:rPr>
          <w:rFonts w:ascii="仿宋" w:hAnsi="仿宋" w:eastAsia="仿宋"/>
          <w:sz w:val="32"/>
          <w:szCs w:val="32"/>
        </w:rPr>
      </w:pPr>
      <w:r>
        <w:rPr>
          <w:rFonts w:ascii="仿宋" w:hAnsi="仿宋" w:eastAsia="仿宋"/>
          <w:sz w:val="32"/>
          <w:szCs w:val="32"/>
        </w:rPr>
        <w:t>（三）如成交供应商放弃成交项目或在签订合同时改变成交状态，采购方将取消其成交资格，并追究成交供应商的相关法律责任。</w:t>
      </w:r>
    </w:p>
    <w:p>
      <w:pPr>
        <w:autoSpaceDE w:val="0"/>
        <w:autoSpaceDN w:val="0"/>
        <w:adjustRightInd w:val="0"/>
        <w:snapToGrid w:val="0"/>
        <w:spacing w:line="600" w:lineRule="exact"/>
        <w:ind w:firstLine="640"/>
        <w:rPr>
          <w:rFonts w:ascii="仿宋" w:hAnsi="仿宋" w:eastAsia="仿宋"/>
          <w:sz w:val="32"/>
          <w:szCs w:val="32"/>
        </w:rPr>
      </w:pPr>
      <w:r>
        <w:rPr>
          <w:rFonts w:hint="eastAsia" w:ascii="仿宋" w:hAnsi="仿宋" w:eastAsia="仿宋"/>
          <w:sz w:val="32"/>
          <w:szCs w:val="32"/>
        </w:rPr>
        <w:t>附件：</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1.谈判响应文件封面</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ind w:firstLine="643" w:firstLineChars="200"/>
        <w:rPr>
          <w:rFonts w:ascii="仿宋" w:hAnsi="仿宋" w:eastAsia="仿宋"/>
          <w:color w:val="FF0000"/>
          <w:sz w:val="32"/>
          <w:szCs w:val="32"/>
        </w:rPr>
      </w:pPr>
      <w:r>
        <w:rPr>
          <w:rFonts w:hint="eastAsia" w:ascii="仿宋" w:hAnsi="仿宋" w:eastAsia="仿宋" w:cs="宋体"/>
          <w:b/>
          <w:kern w:val="0"/>
          <w:sz w:val="32"/>
          <w:szCs w:val="32"/>
        </w:rPr>
        <w:t>3.分项报价表</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4.法定代表人身份证明书</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5.法定代表人授权委托书</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6.营业执照副本复印件</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7.类似业绩一览表</w:t>
      </w:r>
    </w:p>
    <w:p>
      <w:pPr>
        <w:widowControl/>
        <w:spacing w:line="520" w:lineRule="exact"/>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8.服务方案及售后承诺</w:t>
      </w:r>
    </w:p>
    <w:p>
      <w:pPr>
        <w:widowControl/>
        <w:spacing w:line="52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9.重大违法记录说明及承诺</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t>10</w:t>
      </w:r>
      <w:r>
        <w:rPr>
          <w:rFonts w:hint="eastAsia" w:ascii="仿宋" w:hAnsi="仿宋" w:eastAsia="仿宋" w:cs="宋体"/>
          <w:b/>
          <w:kern w:val="0"/>
          <w:sz w:val="32"/>
          <w:szCs w:val="32"/>
        </w:rPr>
        <w:t>.廉政自律承诺书</w:t>
      </w:r>
    </w:p>
    <w:p>
      <w:pPr>
        <w:widowControl/>
        <w:spacing w:line="520" w:lineRule="exact"/>
        <w:ind w:firstLine="643" w:firstLineChars="200"/>
        <w:jc w:val="left"/>
        <w:rPr>
          <w:rFonts w:ascii="仿宋" w:hAnsi="仿宋" w:eastAsia="仿宋" w:cs="宋体"/>
          <w:b/>
          <w:kern w:val="0"/>
          <w:sz w:val="32"/>
          <w:szCs w:val="32"/>
        </w:rPr>
      </w:pPr>
      <w:r>
        <w:rPr>
          <w:rFonts w:ascii="仿宋" w:hAnsi="仿宋" w:eastAsia="仿宋" w:cs="宋体"/>
          <w:b/>
          <w:kern w:val="0"/>
          <w:sz w:val="32"/>
          <w:szCs w:val="32"/>
        </w:rPr>
        <w:br w:type="page"/>
      </w:r>
    </w:p>
    <w:p>
      <w:pPr>
        <w:pStyle w:val="3"/>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谈判响应文件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3"/>
        <w:gridCol w:w="2107"/>
        <w:gridCol w:w="198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813"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总报价</w:t>
            </w:r>
          </w:p>
        </w:tc>
        <w:tc>
          <w:tcPr>
            <w:tcW w:w="2107"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服务期限</w:t>
            </w:r>
          </w:p>
        </w:tc>
        <w:tc>
          <w:tcPr>
            <w:tcW w:w="198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服务承诺</w:t>
            </w:r>
          </w:p>
        </w:tc>
        <w:tc>
          <w:tcPr>
            <w:tcW w:w="1381"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3813" w:type="dxa"/>
            <w:vAlign w:val="center"/>
          </w:tcPr>
          <w:p>
            <w:pPr>
              <w:rPr>
                <w:rFonts w:eastAsia="方正仿宋_GBK"/>
                <w:sz w:val="28"/>
                <w:szCs w:val="28"/>
                <w:lang w:val="zh-CN"/>
              </w:rPr>
            </w:pPr>
            <w:r>
              <w:rPr>
                <w:rFonts w:hint="eastAsia" w:eastAsia="方正仿宋_GBK"/>
                <w:sz w:val="28"/>
                <w:szCs w:val="28"/>
                <w:lang w:val="zh-CN"/>
              </w:rPr>
              <w:t>小写</w:t>
            </w:r>
            <w:r>
              <w:rPr>
                <w:rFonts w:eastAsia="方正仿宋_GBK"/>
                <w:sz w:val="28"/>
                <w:szCs w:val="28"/>
                <w:lang w:val="zh-CN"/>
              </w:rPr>
              <w:t>：</w:t>
            </w:r>
          </w:p>
          <w:p>
            <w:pPr>
              <w:jc w:val="left"/>
              <w:rPr>
                <w:rFonts w:eastAsia="方正仿宋_GBK"/>
                <w:sz w:val="28"/>
                <w:szCs w:val="28"/>
                <w:lang w:val="zh-CN"/>
              </w:rPr>
            </w:pPr>
            <w:r>
              <w:rPr>
                <w:rFonts w:hint="eastAsia" w:eastAsia="方正仿宋_GBK"/>
                <w:sz w:val="28"/>
                <w:szCs w:val="28"/>
                <w:lang w:val="zh-CN"/>
              </w:rPr>
              <w:t>大写</w:t>
            </w:r>
            <w:r>
              <w:rPr>
                <w:rFonts w:eastAsia="方正仿宋_GBK"/>
                <w:sz w:val="28"/>
                <w:szCs w:val="28"/>
                <w:lang w:val="zh-CN"/>
              </w:rPr>
              <w:t>：</w:t>
            </w:r>
          </w:p>
        </w:tc>
        <w:tc>
          <w:tcPr>
            <w:tcW w:w="2107"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985" w:type="dxa"/>
            <w:vAlign w:val="center"/>
          </w:tcPr>
          <w:p>
            <w:pPr>
              <w:widowControl/>
              <w:jc w:val="left"/>
              <w:rPr>
                <w:rFonts w:eastAsia="方正仿宋_GBK"/>
                <w:sz w:val="28"/>
                <w:szCs w:val="28"/>
                <w:lang w:val="zh-CN"/>
              </w:rPr>
            </w:pPr>
          </w:p>
          <w:p>
            <w:pPr>
              <w:spacing w:line="360" w:lineRule="auto"/>
              <w:rPr>
                <w:rFonts w:eastAsia="方正仿宋_GBK"/>
                <w:sz w:val="28"/>
                <w:szCs w:val="28"/>
                <w:lang w:val="zh-CN"/>
              </w:rPr>
            </w:pPr>
          </w:p>
        </w:tc>
        <w:tc>
          <w:tcPr>
            <w:tcW w:w="1381"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286" w:type="dxa"/>
            <w:gridSpan w:val="4"/>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年月日</w:t>
            </w:r>
          </w:p>
        </w:tc>
      </w:tr>
    </w:tbl>
    <w:p>
      <w:pPr>
        <w:autoSpaceDE w:val="0"/>
        <w:autoSpaceDN w:val="0"/>
        <w:adjustRightInd w:val="0"/>
        <w:rPr>
          <w:rFonts w:eastAsia="方正楷体简体"/>
          <w:sz w:val="32"/>
          <w:szCs w:val="32"/>
          <w:lang w:val="zh-CN"/>
        </w:rPr>
      </w:pPr>
    </w:p>
    <w:p>
      <w:pPr>
        <w:widowControl/>
        <w:jc w:val="left"/>
        <w:rPr>
          <w:rFonts w:eastAsia="方正楷体简体"/>
          <w:sz w:val="32"/>
          <w:szCs w:val="32"/>
          <w:lang w:val="zh-CN"/>
        </w:rPr>
        <w:sectPr>
          <w:pgSz w:w="11906" w:h="16838"/>
          <w:pgMar w:top="1134" w:right="1418" w:bottom="1134" w:left="1418" w:header="851" w:footer="992" w:gutter="0"/>
          <w:cols w:space="720" w:num="1"/>
          <w:docGrid w:type="lines" w:linePitch="312" w:charSpace="0"/>
        </w:sectPr>
      </w:pPr>
      <w:r>
        <w:rPr>
          <w:rFonts w:eastAsia="方正楷体简体"/>
          <w:sz w:val="32"/>
          <w:szCs w:val="32"/>
          <w:lang w:val="zh-CN"/>
        </w:rPr>
        <w:br w:type="page"/>
      </w:r>
    </w:p>
    <w:p>
      <w:pPr>
        <w:rPr>
          <w:rFonts w:eastAsia="方正仿宋_GBK"/>
          <w:sz w:val="32"/>
          <w:szCs w:val="32"/>
        </w:rPr>
      </w:pPr>
      <w:bookmarkStart w:id="3" w:name="_Toc373625391"/>
      <w:r>
        <w:rPr>
          <w:rFonts w:eastAsia="方正仿宋_GBK"/>
          <w:sz w:val="32"/>
          <w:szCs w:val="32"/>
        </w:rPr>
        <w:t>附件</w:t>
      </w:r>
      <w:r>
        <w:rPr>
          <w:rFonts w:hint="eastAsia" w:eastAsia="方正仿宋_GBK"/>
          <w:sz w:val="32"/>
          <w:szCs w:val="32"/>
        </w:rPr>
        <w:t>3</w:t>
      </w:r>
      <w:r>
        <w:rPr>
          <w:rFonts w:eastAsia="方正仿宋_GBK"/>
          <w:sz w:val="32"/>
          <w:szCs w:val="32"/>
        </w:rPr>
        <w:t>：</w:t>
      </w:r>
    </w:p>
    <w:p>
      <w:pPr>
        <w:pStyle w:val="2"/>
        <w:jc w:val="center"/>
      </w:pPr>
      <w:r>
        <w:rPr>
          <w:rFonts w:hint="eastAsia"/>
        </w:rPr>
        <w:t>分项报价</w:t>
      </w:r>
      <w:r>
        <w:t>表</w:t>
      </w:r>
      <w:bookmarkEnd w:id="3"/>
    </w:p>
    <w:p>
      <w:pPr>
        <w:jc w:val="center"/>
      </w:pPr>
      <w:r>
        <w:rPr>
          <w:rFonts w:hint="eastAsia"/>
        </w:rPr>
        <w:t>（格式自拟）</w:t>
      </w: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color w:val="000000"/>
          <w:sz w:val="21"/>
          <w:szCs w:val="21"/>
        </w:rPr>
      </w:pPr>
    </w:p>
    <w:p>
      <w:pPr>
        <w:pStyle w:val="6"/>
        <w:spacing w:line="500" w:lineRule="exact"/>
        <w:ind w:firstLine="420" w:firstLineChars="200"/>
        <w:rPr>
          <w:rFonts w:hAnsi="宋体"/>
          <w:color w:val="000000"/>
          <w:sz w:val="21"/>
          <w:szCs w:val="21"/>
        </w:rPr>
      </w:pPr>
      <w:r>
        <w:rPr>
          <w:rFonts w:hint="eastAsia"/>
          <w:color w:val="000000"/>
          <w:sz w:val="21"/>
          <w:szCs w:val="21"/>
        </w:rPr>
        <w:t>注：</w:t>
      </w:r>
      <w:r>
        <w:rPr>
          <w:rFonts w:hAnsi="宋体"/>
          <w:color w:val="000000"/>
          <w:sz w:val="21"/>
          <w:szCs w:val="21"/>
        </w:rPr>
        <w:t>1、“</w:t>
      </w:r>
      <w:r>
        <w:rPr>
          <w:rFonts w:hint="eastAsia" w:hAnsi="宋体"/>
          <w:color w:val="000000"/>
          <w:sz w:val="21"/>
          <w:szCs w:val="21"/>
        </w:rPr>
        <w:t>总报价</w:t>
      </w:r>
      <w:r>
        <w:rPr>
          <w:rFonts w:hAnsi="宋体"/>
          <w:color w:val="000000"/>
          <w:sz w:val="21"/>
          <w:szCs w:val="21"/>
        </w:rPr>
        <w:t>”项价格应与“</w:t>
      </w:r>
      <w:r>
        <w:rPr>
          <w:rFonts w:hint="eastAsia" w:hAnsi="宋体"/>
          <w:bCs/>
          <w:color w:val="000000"/>
          <w:sz w:val="21"/>
          <w:szCs w:val="21"/>
        </w:rPr>
        <w:t>报价一览表</w:t>
      </w:r>
      <w:r>
        <w:rPr>
          <w:rFonts w:hAnsi="宋体"/>
          <w:color w:val="000000"/>
          <w:sz w:val="21"/>
          <w:szCs w:val="21"/>
        </w:rPr>
        <w:t>”中</w:t>
      </w:r>
      <w:r>
        <w:rPr>
          <w:rFonts w:hint="eastAsia" w:hAnsi="宋体"/>
          <w:color w:val="000000"/>
          <w:sz w:val="21"/>
          <w:szCs w:val="21"/>
        </w:rPr>
        <w:t>总报价</w:t>
      </w:r>
      <w:r>
        <w:rPr>
          <w:rFonts w:hAnsi="宋体"/>
          <w:color w:val="000000"/>
          <w:sz w:val="21"/>
          <w:szCs w:val="21"/>
        </w:rPr>
        <w:t>一致。</w:t>
      </w:r>
    </w:p>
    <w:p>
      <w:pPr>
        <w:spacing w:line="360" w:lineRule="auto"/>
        <w:ind w:firstLine="2" w:firstLineChars="1"/>
        <w:rPr>
          <w:color w:val="000000"/>
        </w:rPr>
      </w:pPr>
      <w:r>
        <w:rPr>
          <w:rFonts w:hint="eastAsia"/>
          <w:color w:val="000000"/>
        </w:rPr>
        <w:t>供应商</w:t>
      </w:r>
      <w:r>
        <w:rPr>
          <w:color w:val="000000"/>
        </w:rPr>
        <w:t>：（盖章）</w:t>
      </w:r>
    </w:p>
    <w:p>
      <w:pPr>
        <w:spacing w:line="360" w:lineRule="auto"/>
        <w:ind w:firstLine="2" w:firstLineChars="1"/>
        <w:rPr>
          <w:color w:val="000000"/>
        </w:rPr>
      </w:pPr>
      <w:r>
        <w:rPr>
          <w:color w:val="000000"/>
        </w:rPr>
        <w:t>法定代表人或其委托代理人：（</w:t>
      </w:r>
      <w:r>
        <w:rPr>
          <w:rFonts w:hint="eastAsia" w:ascii="宋体" w:hAnsi="宋体" w:cs="宋体-18030"/>
          <w:color w:val="000000"/>
        </w:rPr>
        <w:t>签字或盖章</w:t>
      </w:r>
      <w:r>
        <w:rPr>
          <w:color w:val="000000"/>
        </w:rPr>
        <w:t>）</w:t>
      </w:r>
    </w:p>
    <w:p>
      <w:pPr>
        <w:spacing w:line="360" w:lineRule="auto"/>
        <w:ind w:firstLine="2" w:firstLineChars="1"/>
        <w:rPr>
          <w:color w:val="000000"/>
        </w:rPr>
      </w:pPr>
      <w:r>
        <w:rPr>
          <w:rFonts w:hint="eastAsia"/>
          <w:color w:val="000000"/>
        </w:rPr>
        <w:t>日期：</w:t>
      </w:r>
      <w:r>
        <w:rPr>
          <w:rFonts w:ascii="宋体" w:hAnsi="宋体"/>
        </w:rPr>
        <w:t>年月日</w:t>
      </w:r>
    </w:p>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t>附件</w:t>
      </w:r>
      <w:r>
        <w:rPr>
          <w:rFonts w:hint="eastAsia" w:eastAsia="方正仿宋_GBK"/>
          <w:color w:val="000000"/>
          <w:kern w:val="0"/>
          <w:sz w:val="32"/>
          <w:szCs w:val="32"/>
        </w:rPr>
        <w:t>4</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4"/>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名：性别：年龄：职务：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（供应商名称）</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5" w:name="_Toc79575068"/>
      <w:bookmarkStart w:id="6" w:name="_Toc102161175"/>
      <w:bookmarkStart w:id="7" w:name="_Toc210016355"/>
      <w:bookmarkStart w:id="8" w:name="_Toc509407137"/>
      <w:bookmarkStart w:id="9" w:name="_Toc517860628"/>
      <w:bookmarkStart w:id="10" w:name="_Toc133891418"/>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bookmarkEnd w:id="5"/>
    <w:bookmarkEnd w:id="6"/>
    <w:p>
      <w:pPr>
        <w:pStyle w:val="2"/>
        <w:jc w:val="center"/>
      </w:pPr>
      <w:r>
        <w:rPr>
          <w:rFonts w:hint="eastAsia"/>
        </w:rPr>
        <w:t>法定代表人授权委托书</w:t>
      </w:r>
      <w:bookmarkEnd w:id="7"/>
      <w:bookmarkEnd w:id="8"/>
      <w:bookmarkEnd w:id="9"/>
      <w:bookmarkEnd w:id="10"/>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（姓名）</w:t>
      </w:r>
      <w:r>
        <w:rPr>
          <w:rFonts w:hint="eastAsia" w:ascii="宋体" w:hAnsi="宋体" w:cs="宋体"/>
          <w:kern w:val="0"/>
        </w:rPr>
        <w:t>系</w:t>
      </w:r>
      <w:r>
        <w:rPr>
          <w:rFonts w:hint="eastAsia" w:ascii="宋体" w:hAnsi="宋体" w:cs="宋体"/>
          <w:kern w:val="0"/>
          <w:u w:val="single"/>
        </w:rPr>
        <w:t>（供应商名称）</w:t>
      </w:r>
      <w:r>
        <w:rPr>
          <w:rFonts w:hint="eastAsia" w:ascii="宋体" w:hAnsi="宋体" w:cs="宋体"/>
          <w:kern w:val="0"/>
        </w:rPr>
        <w:t>的法定代表人，现委托</w:t>
      </w:r>
      <w:r>
        <w:rPr>
          <w:rFonts w:hint="eastAsia" w:ascii="宋体" w:hAnsi="宋体" w:cs="宋体"/>
          <w:kern w:val="0"/>
          <w:u w:val="single"/>
        </w:rPr>
        <w:t>（姓名）</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（竞争性磋商项目名称）</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（签字或盖章）</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11"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7</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2019年以来类似业绩一览表</w:t>
      </w:r>
      <w:bookmarkEnd w:id="11"/>
    </w:p>
    <w:tbl>
      <w:tblPr>
        <w:tblStyle w:val="11"/>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注：1.类似业绩至少需要提供一项，否则视为不满足供应商资基本格要求。</w:t>
      </w:r>
    </w:p>
    <w:p>
      <w:pPr>
        <w:spacing w:line="500" w:lineRule="exact"/>
        <w:ind w:firstLine="420" w:firstLineChars="200"/>
        <w:rPr>
          <w:rFonts w:ascii="宋体" w:hAnsi="宋体"/>
        </w:rPr>
      </w:pPr>
      <w:r>
        <w:rPr>
          <w:rFonts w:hint="eastAsia" w:ascii="宋体" w:hAnsi="宋体"/>
        </w:rPr>
        <w:t>2.单个业绩证明文件交易金额在10万元及以上的为有效业绩的。</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中标通知书或合同协议书或业主证明等材料原件复印件并加盖公章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12" w:name="_Toc414969717"/>
      <w:r>
        <w:rPr>
          <w:rFonts w:hint="eastAsia" w:ascii="Times New Roman" w:hAnsi="Times New Roman" w:eastAsia="方正仿宋_GBK" w:cs="Times New Roman"/>
          <w:b w:val="0"/>
          <w:bCs w:val="0"/>
          <w:color w:val="000000"/>
          <w:kern w:val="0"/>
          <w:sz w:val="32"/>
          <w:szCs w:val="32"/>
        </w:rPr>
        <w:t>附件8：</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9</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12"/>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致：</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13"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13"/>
    <w:p>
      <w:pPr>
        <w:spacing w:line="480" w:lineRule="exact"/>
        <w:ind w:firstLine="560" w:firstLineChars="200"/>
        <w:rPr>
          <w:rFonts w:ascii="宋体" w:hAnsi="宋体" w:cs="宋体"/>
          <w:sz w:val="28"/>
          <w:szCs w:val="28"/>
        </w:rPr>
      </w:pPr>
      <w:r>
        <w:rPr>
          <w:rFonts w:hint="eastAsia" w:ascii="宋体" w:hAnsi="宋体" w:cs="宋体"/>
          <w:sz w:val="28"/>
          <w:szCs w:val="28"/>
        </w:rPr>
        <w:t>2.提供在投标截止时间前未被列入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480" w:lineRule="exact"/>
        <w:ind w:firstLine="568" w:firstLineChars="202"/>
        <w:rPr>
          <w:rFonts w:ascii="宋体" w:hAnsi="宋体"/>
          <w:b/>
          <w:sz w:val="28"/>
          <w:szCs w:val="28"/>
        </w:rPr>
      </w:pPr>
      <w:r>
        <w:rPr>
          <w:rFonts w:ascii="宋体" w:hAnsi="宋体"/>
          <w:b/>
          <w:sz w:val="28"/>
          <w:szCs w:val="28"/>
        </w:rPr>
        <w:t>查询方法：登录“信用中国https://www.creditchina.gov.cn”→点入“信用服务”→在“失信被执行人</w:t>
      </w:r>
      <w:r>
        <w:rPr>
          <w:rFonts w:hint="eastAsia" w:ascii="宋体" w:hAnsi="宋体"/>
          <w:b/>
          <w:sz w:val="28"/>
          <w:szCs w:val="28"/>
        </w:rPr>
        <w:t>、重大税收违法案件当事人名单、政府采购严重违法失信行为记录名单</w:t>
      </w:r>
      <w:r>
        <w:rPr>
          <w:rFonts w:ascii="宋体" w:hAnsi="宋体"/>
          <w:b/>
          <w:sz w:val="28"/>
          <w:szCs w:val="28"/>
        </w:rPr>
        <w:t>”栏目处</w:t>
      </w:r>
      <w:r>
        <w:rPr>
          <w:rFonts w:hint="eastAsia" w:ascii="宋体" w:hAnsi="宋体"/>
          <w:b/>
          <w:sz w:val="28"/>
          <w:szCs w:val="28"/>
        </w:rPr>
        <w:t>分别</w:t>
      </w:r>
      <w:r>
        <w:rPr>
          <w:rFonts w:ascii="宋体" w:hAnsi="宋体"/>
          <w:b/>
          <w:sz w:val="28"/>
          <w:szCs w:val="28"/>
        </w:rPr>
        <w:t>输入供应商名称</w:t>
      </w:r>
      <w:r>
        <w:rPr>
          <w:rFonts w:hint="eastAsia" w:ascii="宋体" w:hAnsi="宋体"/>
          <w:b/>
          <w:sz w:val="28"/>
          <w:szCs w:val="28"/>
        </w:rPr>
        <w:t>和</w:t>
      </w:r>
      <w:r>
        <w:rPr>
          <w:rFonts w:ascii="宋体" w:hAnsi="宋体"/>
          <w:b/>
          <w:sz w:val="28"/>
          <w:szCs w:val="28"/>
        </w:rPr>
        <w:t>法定代表人</w:t>
      </w:r>
      <w:r>
        <w:rPr>
          <w:rFonts w:hint="eastAsia" w:ascii="宋体" w:hAnsi="宋体"/>
          <w:b/>
          <w:sz w:val="28"/>
          <w:szCs w:val="28"/>
        </w:rPr>
        <w:t>姓名</w:t>
      </w:r>
      <w:r>
        <w:rPr>
          <w:rFonts w:ascii="宋体" w:hAnsi="宋体"/>
          <w:b/>
          <w:sz w:val="28"/>
          <w:szCs w:val="28"/>
        </w:rPr>
        <w:t>→</w:t>
      </w:r>
      <w:r>
        <w:rPr>
          <w:rFonts w:hint="eastAsia" w:ascii="宋体" w:hAnsi="宋体"/>
          <w:b/>
          <w:sz w:val="28"/>
          <w:szCs w:val="28"/>
        </w:rPr>
        <w:t>分别</w:t>
      </w:r>
      <w:r>
        <w:rPr>
          <w:rFonts w:ascii="宋体" w:hAnsi="宋体"/>
          <w:b/>
          <w:sz w:val="28"/>
          <w:szCs w:val="28"/>
        </w:rPr>
        <w:t>对查询内容进行截图。例图：</w:t>
      </w:r>
    </w:p>
    <w:p>
      <w:pPr>
        <w:spacing w:line="360" w:lineRule="auto"/>
        <w:ind w:firstLine="424" w:firstLineChars="202"/>
      </w:pPr>
      <w:r>
        <mc:AlternateContent>
          <mc:Choice Requires="wps">
            <w:drawing>
              <wp:anchor distT="0" distB="0" distL="114300" distR="114300" simplePos="0" relativeHeight="251661312" behindDoc="0" locked="0" layoutInCell="1" allowOverlap="1">
                <wp:simplePos x="0" y="0"/>
                <wp:positionH relativeFrom="column">
                  <wp:posOffset>1363345</wp:posOffset>
                </wp:positionH>
                <wp:positionV relativeFrom="paragraph">
                  <wp:posOffset>7083425</wp:posOffset>
                </wp:positionV>
                <wp:extent cx="893445" cy="103505"/>
                <wp:effectExtent l="0" t="0" r="1905" b="10795"/>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7.35pt;margin-top:557.75pt;height:8.15pt;width:70.35pt;z-index:251661312;mso-width-relative:page;mso-height-relative:page;" fillcolor="#FFFFFF" filled="t" stroked="f" coordsize="21600,21600"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1210945</wp:posOffset>
                </wp:positionH>
                <wp:positionV relativeFrom="paragraph">
                  <wp:posOffset>4153535</wp:posOffset>
                </wp:positionV>
                <wp:extent cx="802005" cy="103505"/>
                <wp:effectExtent l="0" t="0" r="17145" b="10795"/>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5.35pt;margin-top:327.05pt;height:8.15pt;width:63.15pt;z-index:251660288;mso-width-relative:page;mso-height-relative:page;" fillcolor="#FFFFFF" filled="t" stroked="f" coordsize="21600,21600"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1229360</wp:posOffset>
                </wp:positionV>
                <wp:extent cx="802005" cy="103505"/>
                <wp:effectExtent l="0" t="0" r="17145" b="10795"/>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80200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55pt;margin-top:96.8pt;height:8.15pt;width:63.15pt;z-index:251659264;mso-width-relative:page;mso-height-relative:page;" fillcolor="#FFFFFF" filled="t" stroked="f" coordsize="21600,2160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v:fill on="t" focussize="0,0"/>
                <v:stroke on="f"/>
                <v:imagedata o:title=""/>
                <o:lock v:ext="edit" aspectratio="f"/>
                <v:textbox>
                  <w:txbxContent>
                    <w:p/>
                  </w:txbxContent>
                </v:textbox>
              </v:rect>
            </w:pict>
          </mc:Fallback>
        </mc:AlternateContent>
      </w:r>
      <w: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5"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6"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7"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8"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pPr>
        <w:spacing w:line="360" w:lineRule="auto"/>
        <w:jc w:val="center"/>
      </w:pPr>
      <w:r>
        <mc:AlternateContent>
          <mc:Choice Requires="wps">
            <w:drawing>
              <wp:anchor distT="0" distB="0" distL="114300" distR="114300" simplePos="0" relativeHeight="251663360" behindDoc="0" locked="0" layoutInCell="1" allowOverlap="1">
                <wp:simplePos x="0" y="0"/>
                <wp:positionH relativeFrom="column">
                  <wp:posOffset>1313815</wp:posOffset>
                </wp:positionH>
                <wp:positionV relativeFrom="paragraph">
                  <wp:posOffset>-1744980</wp:posOffset>
                </wp:positionV>
                <wp:extent cx="893445" cy="103505"/>
                <wp:effectExtent l="0" t="0" r="1905" b="107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3.45pt;margin-top:-137.4pt;height:8.15pt;width:70.35pt;z-index:251663360;mso-width-relative:page;mso-height-relative:page;" fillcolor="#FFFFFF" filled="t" stroked="f" coordsize="21600,21600"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v:fill on="t" focussize="0,0"/>
                <v:stroke on="f"/>
                <v:imagedata o:title=""/>
                <o:lock v:ext="edit" aspectratio="f"/>
                <v:textbox>
                  <w:txbxContent>
                    <w:p/>
                  </w:txbxContent>
                </v:textbox>
              </v:rect>
            </w:pict>
          </mc:Fallback>
        </mc:AlternateContent>
      </w:r>
    </w:p>
    <w:p>
      <w:pPr>
        <w:spacing w:line="360" w:lineRule="auto"/>
        <w:ind w:firstLine="420"/>
        <w:jc w:val="center"/>
        <w:rPr>
          <w:rFonts w:ascii="宋体"/>
        </w:rPr>
      </w:pPr>
    </w:p>
    <w:p>
      <w:pPr>
        <w:spacing w:line="360" w:lineRule="auto"/>
        <w:jc w:val="center"/>
        <w:rPr>
          <w:b/>
        </w:rPr>
      </w:pPr>
      <w:r>
        <mc:AlternateContent>
          <mc:Choice Requires="wps">
            <w:drawing>
              <wp:anchor distT="0" distB="0" distL="114300" distR="114300" simplePos="0" relativeHeight="251662336" behindDoc="0" locked="0" layoutInCell="1" allowOverlap="1">
                <wp:simplePos x="0" y="0"/>
                <wp:positionH relativeFrom="column">
                  <wp:posOffset>1834515</wp:posOffset>
                </wp:positionH>
                <wp:positionV relativeFrom="paragraph">
                  <wp:posOffset>1252220</wp:posOffset>
                </wp:positionV>
                <wp:extent cx="893445" cy="103505"/>
                <wp:effectExtent l="0" t="0" r="1905" b="107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45pt;margin-top:98.6pt;height:8.15pt;width:70.35pt;z-index:251662336;mso-width-relative:page;mso-height-relative:page;" fillcolor="#FFFFFF" filled="t" stroked="f" coordsize="21600,21600"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9"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pPr>
        <w:spacing w:line="360" w:lineRule="auto"/>
        <w:jc w:val="center"/>
        <w:rPr>
          <w:b/>
        </w:rPr>
      </w:pPr>
      <w:r>
        <mc:AlternateContent>
          <mc:Choice Requires="wps">
            <w:drawing>
              <wp:anchor distT="0" distB="0" distL="114300" distR="114300" simplePos="0" relativeHeight="251664384" behindDoc="0" locked="0" layoutInCell="1" allowOverlap="1">
                <wp:simplePos x="0" y="0"/>
                <wp:positionH relativeFrom="column">
                  <wp:posOffset>1831340</wp:posOffset>
                </wp:positionH>
                <wp:positionV relativeFrom="paragraph">
                  <wp:posOffset>1341755</wp:posOffset>
                </wp:positionV>
                <wp:extent cx="893445" cy="103505"/>
                <wp:effectExtent l="0" t="0" r="190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4.2pt;margin-top:105.65pt;height:8.15pt;width:70.35pt;z-index:251664384;mso-width-relative:page;mso-height-relative:page;" fillcolor="#FFFFFF" filled="t" stroked="f" coordsize="21600,2160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0"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pPr>
        <w:rPr>
          <w:b/>
        </w:rPr>
      </w:pPr>
      <w:r>
        <w:rPr>
          <w:b/>
        </w:rPr>
        <w:br w:type="page"/>
      </w:r>
    </w:p>
    <w:p>
      <w:pPr>
        <w:spacing w:line="360" w:lineRule="auto"/>
        <w:rPr>
          <w:rFonts w:ascii="宋体" w:hAnsi="宋体"/>
        </w:rPr>
      </w:pPr>
      <w:r>
        <w:rPr>
          <w:b/>
        </w:rPr>
        <w:t>查询方法：登录“</w:t>
      </w:r>
      <w:r>
        <w:rPr>
          <w:rFonts w:hint="eastAsia"/>
          <w:b/>
        </w:rPr>
        <w:t>中国政府采购网（www.ccgp.gov.cn）“政府采购严重违法失信行为信息记录”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pPr>
        <w:spacing w:line="360" w:lineRule="auto"/>
        <w:jc w:val="center"/>
        <w:rPr>
          <w:rFonts w:ascii="宋体" w:hAnsi="宋体"/>
        </w:rPr>
      </w:pPr>
      <w:r>
        <mc:AlternateContent>
          <mc:Choice Requires="wps">
            <w:drawing>
              <wp:anchor distT="0" distB="0" distL="114300" distR="114300" simplePos="0" relativeHeight="251666432" behindDoc="0" locked="0" layoutInCell="1" allowOverlap="1">
                <wp:simplePos x="0" y="0"/>
                <wp:positionH relativeFrom="column">
                  <wp:posOffset>1604645</wp:posOffset>
                </wp:positionH>
                <wp:positionV relativeFrom="paragraph">
                  <wp:posOffset>2740025</wp:posOffset>
                </wp:positionV>
                <wp:extent cx="893445" cy="103505"/>
                <wp:effectExtent l="0" t="0" r="19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215.75pt;height:8.15pt;width:70.35pt;z-index:251666432;mso-width-relative:page;mso-height-relative:page;" fillcolor="#FFFFFF" filled="t" stroked="f" coordsize="21600,21600"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1604645</wp:posOffset>
                </wp:positionH>
                <wp:positionV relativeFrom="paragraph">
                  <wp:posOffset>581025</wp:posOffset>
                </wp:positionV>
                <wp:extent cx="893445" cy="103505"/>
                <wp:effectExtent l="0" t="0" r="1905" b="107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893445" cy="103505"/>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6.35pt;margin-top:45.75pt;height:8.15pt;width:70.35pt;z-index:251665408;mso-width-relative:page;mso-height-relative:page;" fillcolor="#FFFFFF" filled="t" stroked="f" coordsize="21600,21600"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v:fill on="t" focussize="0,0"/>
                <v:stroke on="f"/>
                <v:imagedata o:title=""/>
                <o:lock v:ext="edit" aspectratio="f"/>
                <v:textbox>
                  <w:txbxContent>
                    <w:p/>
                  </w:txbxContent>
                </v:textbox>
              </v:rect>
            </w:pict>
          </mc:Fallback>
        </mc:AlternateContent>
      </w:r>
      <w: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1"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2"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14" w:name="_Toc10485800"/>
      <w:bookmarkStart w:id="15" w:name="_Toc287279812"/>
      <w:bookmarkStart w:id="16" w:name="_Toc432697243"/>
      <w:bookmarkStart w:id="17" w:name="_Toc316479151"/>
      <w:r>
        <w:rPr>
          <w:rFonts w:hint="eastAsia" w:eastAsia="方正仿宋_GBK"/>
          <w:color w:val="000000"/>
          <w:kern w:val="0"/>
          <w:sz w:val="32"/>
          <w:szCs w:val="32"/>
        </w:rPr>
        <w:t>附件10</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14"/>
      <w:bookmarkEnd w:id="15"/>
      <w:bookmarkEnd w:id="16"/>
      <w:bookmarkEnd w:id="17"/>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乙方：</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第五条本承诺书作为合同的附件一并执行。</w:t>
      </w:r>
    </w:p>
    <w:p>
      <w:pPr>
        <w:pStyle w:val="4"/>
        <w:ind w:firstLine="602" w:firstLineChars="200"/>
        <w:rPr>
          <w:bCs/>
          <w:szCs w:val="30"/>
        </w:rPr>
      </w:pPr>
      <w:r>
        <w:rPr>
          <w:rFonts w:hint="eastAsia"/>
          <w:bCs/>
          <w:szCs w:val="30"/>
        </w:rPr>
        <w:t>第六条本承诺书的有效期为甲乙双方签署之日起至该工程项目或该采购项目完成为止。</w:t>
      </w:r>
    </w:p>
    <w:p>
      <w:pPr>
        <w:pStyle w:val="4"/>
        <w:ind w:firstLine="602" w:firstLineChars="200"/>
        <w:rPr>
          <w:bCs/>
          <w:szCs w:val="30"/>
        </w:rPr>
      </w:pPr>
      <w:r>
        <w:rPr>
          <w:rFonts w:hint="eastAsia"/>
          <w:bCs/>
          <w:szCs w:val="30"/>
        </w:rPr>
        <w:t>第七条本承诺书一式四份，响应文件正、副本中各装订一份，甲方纪检监察部门一份存档备案，乙方持有一份。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甲方单位（盖章）：乙方单位（盖章）：</w:t>
      </w:r>
    </w:p>
    <w:p>
      <w:pPr>
        <w:rPr>
          <w:rFonts w:ascii="仿宋_GB2312" w:eastAsia="仿宋_GB2312"/>
          <w:sz w:val="30"/>
          <w:szCs w:val="30"/>
        </w:rPr>
      </w:pPr>
      <w:r>
        <w:rPr>
          <w:rFonts w:hint="eastAsia" w:ascii="仿宋_GB2312" w:eastAsia="仿宋_GB2312"/>
          <w:sz w:val="30"/>
          <w:szCs w:val="30"/>
        </w:rPr>
        <w:t>项目负责人：项目负责人：</w:t>
      </w:r>
    </w:p>
    <w:p>
      <w:pPr>
        <w:ind w:firstLine="600" w:firstLineChars="200"/>
        <w:rPr>
          <w:rFonts w:eastAsia="方正仿宋_GBK"/>
          <w:color w:val="000000"/>
          <w:kern w:val="0"/>
          <w:sz w:val="32"/>
          <w:szCs w:val="32"/>
        </w:rPr>
      </w:pPr>
      <w:r>
        <w:rPr>
          <w:rFonts w:hint="eastAsia" w:ascii="仿宋_GB2312" w:eastAsia="仿宋_GB2312"/>
          <w:sz w:val="30"/>
          <w:szCs w:val="30"/>
        </w:rPr>
        <w:t>年月日年月日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Helvetica Neue">
    <w:altName w:val="Courier New"/>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script"/>
    <w:pitch w:val="default"/>
    <w:sig w:usb0="00000000" w:usb1="00000000" w:usb2="00000000" w:usb3="00000000" w:csb0="00040000" w:csb1="00000000"/>
  </w:font>
  <w:font w:name="宋体-18030">
    <w:altName w:val="宋体"/>
    <w:panose1 w:val="00000000000000000000"/>
    <w:charset w:val="7A"/>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o49C6jYCAABiBAAADgAAAAAAAAABACAAAAAhAQAAZHJzL2Uyb0RvYy54&#10;bWxQSwUGAAAAAAYABgBZAQAAyQUAAAAA&#10;">
              <v:fill on="f" focussize="0,0"/>
              <v:stroke on="f" weight="0.5pt"/>
              <v:imagedata o:title=""/>
              <o:lock v:ext="edit" aspectratio="f"/>
              <v:textbox inset="0mm,0mm,0mm,0mm" style="mso-fit-shape-to-text:t;">
                <w:txbxContent>
                  <w:p>
                    <w:r>
                      <w:fldChar w:fldCharType="begin"/>
                    </w:r>
                    <w:r>
                      <w:instrText xml:space="preserve"> PAGE  \* MERGEFORMAT </w:instrText>
                    </w:r>
                    <w:r>
                      <w:fldChar w:fldCharType="separate"/>
                    </w:r>
                    <w:r>
                      <w:t>24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06E0C"/>
    <w:rsid w:val="00140F68"/>
    <w:rsid w:val="00141477"/>
    <w:rsid w:val="001420E5"/>
    <w:rsid w:val="00163910"/>
    <w:rsid w:val="001836FF"/>
    <w:rsid w:val="00183ED6"/>
    <w:rsid w:val="00190D6F"/>
    <w:rsid w:val="001925B8"/>
    <w:rsid w:val="00197068"/>
    <w:rsid w:val="001B3E3B"/>
    <w:rsid w:val="001D2E0C"/>
    <w:rsid w:val="001D7C9A"/>
    <w:rsid w:val="001E721C"/>
    <w:rsid w:val="001F4D5A"/>
    <w:rsid w:val="001F6F71"/>
    <w:rsid w:val="00204173"/>
    <w:rsid w:val="00215535"/>
    <w:rsid w:val="0024502A"/>
    <w:rsid w:val="00251207"/>
    <w:rsid w:val="002662A6"/>
    <w:rsid w:val="002852F2"/>
    <w:rsid w:val="00285CDC"/>
    <w:rsid w:val="00292FE2"/>
    <w:rsid w:val="00295C87"/>
    <w:rsid w:val="002A506D"/>
    <w:rsid w:val="002B5817"/>
    <w:rsid w:val="002E587E"/>
    <w:rsid w:val="002E5CF9"/>
    <w:rsid w:val="002F563A"/>
    <w:rsid w:val="003237F6"/>
    <w:rsid w:val="00333D02"/>
    <w:rsid w:val="00337F21"/>
    <w:rsid w:val="003575E3"/>
    <w:rsid w:val="00361D0E"/>
    <w:rsid w:val="0038391D"/>
    <w:rsid w:val="00387776"/>
    <w:rsid w:val="003B04DE"/>
    <w:rsid w:val="003B3B46"/>
    <w:rsid w:val="003C68D6"/>
    <w:rsid w:val="003D4203"/>
    <w:rsid w:val="003F187E"/>
    <w:rsid w:val="00400253"/>
    <w:rsid w:val="00415D24"/>
    <w:rsid w:val="00416B94"/>
    <w:rsid w:val="00423437"/>
    <w:rsid w:val="00445FAC"/>
    <w:rsid w:val="004464B9"/>
    <w:rsid w:val="004C31FB"/>
    <w:rsid w:val="004E6494"/>
    <w:rsid w:val="004F7387"/>
    <w:rsid w:val="005101EA"/>
    <w:rsid w:val="0051222C"/>
    <w:rsid w:val="00512E3B"/>
    <w:rsid w:val="00533A43"/>
    <w:rsid w:val="0053432D"/>
    <w:rsid w:val="005354D1"/>
    <w:rsid w:val="00535D95"/>
    <w:rsid w:val="00547688"/>
    <w:rsid w:val="0056606B"/>
    <w:rsid w:val="00572B11"/>
    <w:rsid w:val="005731EE"/>
    <w:rsid w:val="005820CD"/>
    <w:rsid w:val="00582ED4"/>
    <w:rsid w:val="0059149E"/>
    <w:rsid w:val="005A0608"/>
    <w:rsid w:val="005C3D2A"/>
    <w:rsid w:val="005C7F56"/>
    <w:rsid w:val="005E36DA"/>
    <w:rsid w:val="00605942"/>
    <w:rsid w:val="00606B54"/>
    <w:rsid w:val="00613300"/>
    <w:rsid w:val="00634B60"/>
    <w:rsid w:val="0064156C"/>
    <w:rsid w:val="00644702"/>
    <w:rsid w:val="00654091"/>
    <w:rsid w:val="00655A78"/>
    <w:rsid w:val="0066329E"/>
    <w:rsid w:val="006713B6"/>
    <w:rsid w:val="006809A1"/>
    <w:rsid w:val="00691B1C"/>
    <w:rsid w:val="006A2513"/>
    <w:rsid w:val="006A297D"/>
    <w:rsid w:val="006B40FC"/>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8664A"/>
    <w:rsid w:val="007A78E5"/>
    <w:rsid w:val="007B3103"/>
    <w:rsid w:val="007D23FD"/>
    <w:rsid w:val="007F7356"/>
    <w:rsid w:val="00815028"/>
    <w:rsid w:val="00822296"/>
    <w:rsid w:val="008361BA"/>
    <w:rsid w:val="00841B94"/>
    <w:rsid w:val="0086520C"/>
    <w:rsid w:val="00866BC1"/>
    <w:rsid w:val="00867552"/>
    <w:rsid w:val="00875102"/>
    <w:rsid w:val="008B04DC"/>
    <w:rsid w:val="008C1069"/>
    <w:rsid w:val="008C4C43"/>
    <w:rsid w:val="008D55C0"/>
    <w:rsid w:val="008D6740"/>
    <w:rsid w:val="008E4E22"/>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9185E"/>
    <w:rsid w:val="00996125"/>
    <w:rsid w:val="009967D8"/>
    <w:rsid w:val="009A1C80"/>
    <w:rsid w:val="009B339B"/>
    <w:rsid w:val="009B4579"/>
    <w:rsid w:val="009C4385"/>
    <w:rsid w:val="009C4629"/>
    <w:rsid w:val="009D065D"/>
    <w:rsid w:val="009D789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5F63"/>
    <w:rsid w:val="00AD7CD8"/>
    <w:rsid w:val="00AE365A"/>
    <w:rsid w:val="00AF26DF"/>
    <w:rsid w:val="00AF37B6"/>
    <w:rsid w:val="00AF4B76"/>
    <w:rsid w:val="00B024CE"/>
    <w:rsid w:val="00B07FFA"/>
    <w:rsid w:val="00B110D5"/>
    <w:rsid w:val="00B2207E"/>
    <w:rsid w:val="00B26EAF"/>
    <w:rsid w:val="00B35D21"/>
    <w:rsid w:val="00B4569B"/>
    <w:rsid w:val="00B617B0"/>
    <w:rsid w:val="00B638B8"/>
    <w:rsid w:val="00B64638"/>
    <w:rsid w:val="00B86C01"/>
    <w:rsid w:val="00BA59B8"/>
    <w:rsid w:val="00BB708C"/>
    <w:rsid w:val="00BC3E48"/>
    <w:rsid w:val="00BE0AC8"/>
    <w:rsid w:val="00BF05AC"/>
    <w:rsid w:val="00BF569C"/>
    <w:rsid w:val="00BF6517"/>
    <w:rsid w:val="00C008E1"/>
    <w:rsid w:val="00C15E58"/>
    <w:rsid w:val="00C42734"/>
    <w:rsid w:val="00C45F77"/>
    <w:rsid w:val="00C73040"/>
    <w:rsid w:val="00C73526"/>
    <w:rsid w:val="00C857E1"/>
    <w:rsid w:val="00C96D8C"/>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8444B2"/>
    <w:rsid w:val="04933D4F"/>
    <w:rsid w:val="05BB38B9"/>
    <w:rsid w:val="060A3632"/>
    <w:rsid w:val="066469C3"/>
    <w:rsid w:val="066F6785"/>
    <w:rsid w:val="06837F49"/>
    <w:rsid w:val="09A10C15"/>
    <w:rsid w:val="09A73255"/>
    <w:rsid w:val="0B7059E3"/>
    <w:rsid w:val="0B8579BE"/>
    <w:rsid w:val="0D29304F"/>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DC15834"/>
    <w:rsid w:val="2EC94FDF"/>
    <w:rsid w:val="2F0E55A0"/>
    <w:rsid w:val="2FC61F57"/>
    <w:rsid w:val="334E443E"/>
    <w:rsid w:val="337D1390"/>
    <w:rsid w:val="33E44E9E"/>
    <w:rsid w:val="349A38A3"/>
    <w:rsid w:val="353B5A1B"/>
    <w:rsid w:val="35A43C29"/>
    <w:rsid w:val="35D3523E"/>
    <w:rsid w:val="37797DFE"/>
    <w:rsid w:val="389E11C0"/>
    <w:rsid w:val="39787FEC"/>
    <w:rsid w:val="399450B1"/>
    <w:rsid w:val="39B9356C"/>
    <w:rsid w:val="3A2C06C3"/>
    <w:rsid w:val="3A5D3D32"/>
    <w:rsid w:val="3A866DB6"/>
    <w:rsid w:val="3BBB3A43"/>
    <w:rsid w:val="3CDC15B0"/>
    <w:rsid w:val="3FA35960"/>
    <w:rsid w:val="3FBB242A"/>
    <w:rsid w:val="40DE4202"/>
    <w:rsid w:val="41877514"/>
    <w:rsid w:val="41C92E34"/>
    <w:rsid w:val="44CE6676"/>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5C271D6"/>
    <w:rsid w:val="662F6B85"/>
    <w:rsid w:val="668D62D2"/>
    <w:rsid w:val="677C3439"/>
    <w:rsid w:val="67A810B6"/>
    <w:rsid w:val="6A531AA4"/>
    <w:rsid w:val="6BFE36FE"/>
    <w:rsid w:val="6C947102"/>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6"/>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0"/>
    <w:rPr>
      <w:rFonts w:ascii="仿宋_GB2312" w:eastAsia="仿宋_GB2312"/>
      <w:b/>
      <w:sz w:val="30"/>
      <w:szCs w:val="20"/>
    </w:rPr>
  </w:style>
  <w:style w:type="paragraph" w:styleId="5">
    <w:name w:val="Body Text Indent"/>
    <w:basedOn w:val="1"/>
    <w:link w:val="20"/>
    <w:qFormat/>
    <w:uiPriority w:val="0"/>
    <w:pPr>
      <w:ind w:firstLine="609" w:firstLineChars="200"/>
    </w:pPr>
    <w:rPr>
      <w:rFonts w:ascii="仿宋_GB2312" w:eastAsia="仿宋_GB2312"/>
      <w:sz w:val="32"/>
      <w:szCs w:val="24"/>
    </w:rPr>
  </w:style>
  <w:style w:type="paragraph" w:styleId="6">
    <w:name w:val="Plain Text"/>
    <w:basedOn w:val="1"/>
    <w:next w:val="1"/>
    <w:link w:val="23"/>
    <w:qFormat/>
    <w:uiPriority w:val="0"/>
    <w:pPr>
      <w:autoSpaceDE w:val="0"/>
      <w:autoSpaceDN w:val="0"/>
      <w:adjustRightInd w:val="0"/>
      <w:jc w:val="left"/>
    </w:pPr>
    <w:rPr>
      <w:rFonts w:ascii="宋体"/>
      <w:kern w:val="0"/>
      <w:sz w:val="20"/>
      <w:szCs w:val="24"/>
    </w:rPr>
  </w:style>
  <w:style w:type="paragraph" w:styleId="7">
    <w:name w:val="Balloon Text"/>
    <w:basedOn w:val="1"/>
    <w:link w:val="21"/>
    <w:qFormat/>
    <w:uiPriority w:val="0"/>
    <w:rPr>
      <w:sz w:val="18"/>
      <w:szCs w:val="18"/>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13">
    <w:name w:val="页眉 Char"/>
    <w:basedOn w:val="12"/>
    <w:link w:val="9"/>
    <w:qFormat/>
    <w:uiPriority w:val="0"/>
    <w:rPr>
      <w:kern w:val="2"/>
      <w:sz w:val="18"/>
      <w:szCs w:val="18"/>
    </w:rPr>
  </w:style>
  <w:style w:type="character" w:customStyle="1" w:styleId="14">
    <w:name w:val="页脚 Char"/>
    <w:basedOn w:val="12"/>
    <w:link w:val="8"/>
    <w:qFormat/>
    <w:uiPriority w:val="0"/>
    <w:rPr>
      <w:kern w:val="2"/>
      <w:sz w:val="18"/>
      <w:szCs w:val="18"/>
    </w:rPr>
  </w:style>
  <w:style w:type="character" w:customStyle="1" w:styleId="15">
    <w:name w:val="页码1"/>
    <w:qFormat/>
    <w:uiPriority w:val="0"/>
    <w:rPr>
      <w:lang w:val="en-US"/>
    </w:rPr>
  </w:style>
  <w:style w:type="character" w:customStyle="1" w:styleId="16">
    <w:name w:val="标题 2 Char"/>
    <w:basedOn w:val="12"/>
    <w:link w:val="2"/>
    <w:qFormat/>
    <w:uiPriority w:val="0"/>
    <w:rPr>
      <w:rFonts w:ascii="Cambria" w:hAnsi="Cambria"/>
      <w:b/>
      <w:bCs/>
      <w:kern w:val="2"/>
      <w:sz w:val="32"/>
      <w:szCs w:val="32"/>
    </w:rPr>
  </w:style>
  <w:style w:type="character" w:customStyle="1" w:styleId="17">
    <w:name w:val="正文文本缩进 Char"/>
    <w:basedOn w:val="12"/>
    <w:qFormat/>
    <w:uiPriority w:val="0"/>
    <w:rPr>
      <w:rFonts w:ascii="仿宋_GB2312" w:eastAsia="仿宋_GB2312"/>
      <w:kern w:val="2"/>
      <w:sz w:val="32"/>
      <w:szCs w:val="24"/>
    </w:rPr>
  </w:style>
  <w:style w:type="character" w:customStyle="1" w:styleId="18">
    <w:name w:val="正文文本 Char"/>
    <w:basedOn w:val="12"/>
    <w:qFormat/>
    <w:uiPriority w:val="0"/>
    <w:rPr>
      <w:rFonts w:ascii="仿宋_GB2312" w:eastAsia="仿宋_GB2312"/>
      <w:b/>
      <w:kern w:val="2"/>
      <w:sz w:val="30"/>
    </w:rPr>
  </w:style>
  <w:style w:type="character" w:customStyle="1" w:styleId="19">
    <w:name w:val="正文文本 Char1"/>
    <w:basedOn w:val="12"/>
    <w:link w:val="4"/>
    <w:qFormat/>
    <w:uiPriority w:val="0"/>
    <w:rPr>
      <w:kern w:val="2"/>
      <w:sz w:val="21"/>
      <w:szCs w:val="21"/>
    </w:rPr>
  </w:style>
  <w:style w:type="character" w:customStyle="1" w:styleId="20">
    <w:name w:val="正文文本缩进 Char1"/>
    <w:basedOn w:val="12"/>
    <w:link w:val="5"/>
    <w:qFormat/>
    <w:uiPriority w:val="0"/>
    <w:rPr>
      <w:kern w:val="2"/>
      <w:sz w:val="21"/>
      <w:szCs w:val="21"/>
    </w:rPr>
  </w:style>
  <w:style w:type="character" w:customStyle="1" w:styleId="21">
    <w:name w:val="批注框文本 Char"/>
    <w:basedOn w:val="12"/>
    <w:link w:val="7"/>
    <w:qFormat/>
    <w:uiPriority w:val="0"/>
    <w:rPr>
      <w:kern w:val="2"/>
      <w:sz w:val="18"/>
      <w:szCs w:val="18"/>
    </w:rPr>
  </w:style>
  <w:style w:type="character" w:customStyle="1" w:styleId="22">
    <w:name w:val="纯文本 Char"/>
    <w:qFormat/>
    <w:uiPriority w:val="0"/>
    <w:rPr>
      <w:rFonts w:ascii="宋体"/>
      <w:szCs w:val="24"/>
    </w:rPr>
  </w:style>
  <w:style w:type="character" w:customStyle="1" w:styleId="23">
    <w:name w:val="纯文本 Char1"/>
    <w:basedOn w:val="12"/>
    <w:link w:val="6"/>
    <w:qFormat/>
    <w:uiPriority w:val="0"/>
    <w:rPr>
      <w:rFonts w:ascii="宋体" w:hAnsi="Courier New" w:cs="Courier New"/>
      <w:kern w:val="2"/>
      <w:sz w:val="21"/>
      <w:szCs w:val="21"/>
    </w:rPr>
  </w:style>
  <w:style w:type="paragraph" w:styleId="24">
    <w:name w:val="List Paragraph"/>
    <w:basedOn w:val="1"/>
    <w:qFormat/>
    <w:uiPriority w:val="34"/>
    <w:pPr>
      <w:ind w:firstLine="420" w:firstLineChars="200"/>
    </w:pPr>
  </w:style>
  <w:style w:type="paragraph" w:customStyle="1" w:styleId="25">
    <w:name w:val="表格样式 2"/>
    <w:qFormat/>
    <w:uiPriority w:val="0"/>
    <w:rPr>
      <w:rFonts w:ascii="Helvetica Neue" w:hAnsi="Helvetica Neue" w:eastAsia="Arial Unicode MS" w:cs="Arial Unicode MS"/>
      <w:color w:val="000000"/>
      <w:lang w:val="zh-CN" w:eastAsia="zh-CN" w:bidi="ar-SA"/>
    </w:rPr>
  </w:style>
  <w:style w:type="paragraph" w:customStyle="1" w:styleId="26">
    <w:name w:val="Revision"/>
    <w:hidden/>
    <w:unhideWhenUsed/>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910</Words>
  <Characters>5188</Characters>
  <Lines>43</Lines>
  <Paragraphs>12</Paragraphs>
  <TotalTime>8</TotalTime>
  <ScaleCrop>false</ScaleCrop>
  <LinksUpToDate>false</LinksUpToDate>
  <CharactersWithSpaces>6086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2021-07-07T07:58:00Z</dcterms:created>
  <dc:creator>User</dc:creator>
  <cp:lastModifiedBy>Administrator</cp:lastModifiedBy>
  <cp:lastPrinted>2020-11-27T04:39:00Z</cp:lastPrinted>
  <dcterms:modified xsi:type="dcterms:W3CDTF">2021-07-09T08:39:42Z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353873601_btnclosed</vt:lpwstr>
  </property>
  <property fmtid="{D5CDD505-2E9C-101B-9397-08002B2CF9AE}" pid="4" name="ICV">
    <vt:lpwstr>79BF83FB019847F0B44DDB210BD78ECF</vt:lpwstr>
  </property>
</Properties>
</file>