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 商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hint="eastAsia" w:eastAsia="宋体"/>
          <w:sz w:val="32"/>
          <w:lang w:val="en-US" w:eastAsia="zh-CN"/>
        </w:rPr>
      </w:pPr>
      <w:r>
        <w:rPr>
          <w:sz w:val="32"/>
        </w:rPr>
        <w:t>项目编号：</w:t>
      </w:r>
      <w:r>
        <w:rPr>
          <w:rFonts w:hint="eastAsia"/>
          <w:sz w:val="32"/>
        </w:rPr>
        <w:t>F</w:t>
      </w:r>
      <w:r>
        <w:rPr>
          <w:sz w:val="32"/>
        </w:rPr>
        <w:t>W</w:t>
      </w:r>
      <w:r>
        <w:rPr>
          <w:rFonts w:hint="eastAsia"/>
          <w:sz w:val="32"/>
        </w:rPr>
        <w:t>00</w:t>
      </w:r>
      <w:r>
        <w:rPr>
          <w:rFonts w:hint="eastAsia"/>
          <w:sz w:val="32"/>
          <w:lang w:val="en-US" w:eastAsia="zh-CN"/>
        </w:rPr>
        <w:t>5</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昆明报业传媒集团采购招标代理服务（一包件2020年印刷材料采购招标代理服务）</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昆明报业传媒集团</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年6月</w:t>
      </w:r>
      <w:r>
        <w:rPr>
          <w:rFonts w:hint="eastAsia" w:eastAsia="方正仿宋_GBK"/>
          <w:kern w:val="0"/>
          <w:sz w:val="36"/>
          <w:szCs w:val="36"/>
        </w:rPr>
        <w:t>30</w:t>
      </w:r>
      <w:r>
        <w:rPr>
          <w:rFonts w:eastAsia="方正仿宋_GBK"/>
          <w:kern w:val="0"/>
          <w:sz w:val="36"/>
          <w:szCs w:val="36"/>
        </w:rPr>
        <w:t>日</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第一章 竞争性磋商公告</w:t>
      </w:r>
    </w:p>
    <w:p>
      <w:pPr>
        <w:jc w:val="center"/>
        <w:rPr>
          <w:rFonts w:ascii="宋体" w:hAnsi="宋体" w:cs="宋体"/>
          <w:b/>
          <w:bCs/>
          <w:sz w:val="32"/>
          <w:szCs w:val="32"/>
          <w:lang w:val="zh-CN"/>
        </w:rPr>
      </w:pPr>
      <w:r>
        <w:rPr>
          <w:rFonts w:hint="eastAsia" w:ascii="宋体" w:hAnsi="宋体" w:cs="宋体"/>
          <w:b/>
          <w:bCs/>
          <w:sz w:val="32"/>
          <w:szCs w:val="32"/>
          <w:lang w:val="zh-CN"/>
        </w:rPr>
        <w:t>昆明报业传媒集团采购招标代理服务（一包件2020年印刷材料采购招标代理服务）竞争性磋商公告</w:t>
      </w:r>
    </w:p>
    <w:p>
      <w:pPr>
        <w:rPr>
          <w:rFonts w:ascii="宋体" w:hAnsi="宋体" w:cs="宋体"/>
          <w:u w:val="single"/>
          <w:lang w:val="zh-CN"/>
        </w:rPr>
      </w:pPr>
    </w:p>
    <w:p>
      <w:pPr>
        <w:ind w:firstLine="643" w:firstLineChars="200"/>
        <w:rPr>
          <w:rFonts w:ascii="仿宋" w:hAnsi="仿宋" w:eastAsia="仿宋"/>
          <w:b/>
          <w:sz w:val="32"/>
          <w:szCs w:val="32"/>
        </w:rPr>
      </w:pPr>
      <w:r>
        <w:rPr>
          <w:rFonts w:hint="eastAsia" w:ascii="仿宋" w:hAnsi="仿宋" w:eastAsia="仿宋"/>
          <w:b/>
          <w:sz w:val="32"/>
          <w:szCs w:val="32"/>
        </w:rPr>
        <w:t>一、磋商邀请</w:t>
      </w:r>
    </w:p>
    <w:p>
      <w:pPr>
        <w:ind w:firstLine="640" w:firstLineChars="200"/>
        <w:rPr>
          <w:rFonts w:ascii="仿宋" w:hAnsi="仿宋" w:eastAsia="仿宋"/>
          <w:sz w:val="32"/>
          <w:szCs w:val="32"/>
        </w:rPr>
      </w:pPr>
      <w:r>
        <w:rPr>
          <w:rFonts w:hint="eastAsia" w:ascii="仿宋" w:hAnsi="仿宋" w:eastAsia="仿宋"/>
          <w:sz w:val="32"/>
          <w:szCs w:val="32"/>
        </w:rPr>
        <w:t>本项目昆明报业传媒集团采购招标代理服务（一包件2020年印刷材料采购招标代理服务），采购人为昆明报业传媒集团，资金已落实，现对本项目进行公开竞争性磋商，欢迎符合要求的供应商参加本次磋商。</w:t>
      </w:r>
    </w:p>
    <w:p>
      <w:pPr>
        <w:ind w:firstLine="643" w:firstLineChars="200"/>
        <w:rPr>
          <w:rFonts w:ascii="仿宋" w:hAnsi="仿宋" w:eastAsia="仿宋"/>
          <w:b/>
          <w:sz w:val="32"/>
          <w:szCs w:val="32"/>
        </w:rPr>
      </w:pPr>
      <w:bookmarkStart w:id="0" w:name="_Toc2333"/>
      <w:bookmarkStart w:id="1" w:name="_Toc519006784"/>
      <w:bookmarkStart w:id="2" w:name="_Toc17004"/>
      <w:bookmarkStart w:id="3" w:name="_Toc25598443"/>
      <w:bookmarkStart w:id="4" w:name="_Toc519499371"/>
      <w:bookmarkStart w:id="5" w:name="_Toc10978262"/>
      <w:r>
        <w:rPr>
          <w:rFonts w:hint="eastAsia" w:ascii="仿宋" w:hAnsi="仿宋" w:eastAsia="仿宋"/>
          <w:b/>
          <w:sz w:val="32"/>
          <w:szCs w:val="32"/>
        </w:rPr>
        <w:t>二、招标代理项目概况与招标范围</w:t>
      </w:r>
      <w:bookmarkEnd w:id="0"/>
      <w:bookmarkEnd w:id="1"/>
      <w:bookmarkEnd w:id="2"/>
      <w:bookmarkEnd w:id="3"/>
      <w:bookmarkEnd w:id="4"/>
      <w:bookmarkEnd w:id="5"/>
    </w:p>
    <w:p>
      <w:pPr>
        <w:ind w:firstLine="643" w:firstLineChars="200"/>
        <w:rPr>
          <w:rFonts w:ascii="仿宋" w:hAnsi="仿宋" w:eastAsia="仿宋"/>
          <w:b/>
          <w:sz w:val="32"/>
          <w:szCs w:val="32"/>
        </w:rPr>
      </w:pPr>
      <w:r>
        <w:rPr>
          <w:rFonts w:hint="eastAsia" w:ascii="仿宋" w:hAnsi="仿宋" w:eastAsia="仿宋"/>
          <w:b/>
          <w:sz w:val="32"/>
          <w:szCs w:val="32"/>
        </w:rPr>
        <w:t>1.一包件</w:t>
      </w:r>
    </w:p>
    <w:p>
      <w:pPr>
        <w:ind w:firstLine="643" w:firstLineChars="200"/>
        <w:rPr>
          <w:rFonts w:ascii="仿宋" w:hAnsi="仿宋" w:eastAsia="仿宋"/>
          <w:b/>
          <w:sz w:val="32"/>
          <w:szCs w:val="32"/>
        </w:rPr>
      </w:pPr>
      <w:r>
        <w:rPr>
          <w:rFonts w:hint="eastAsia" w:ascii="仿宋" w:hAnsi="仿宋" w:eastAsia="仿宋"/>
          <w:b/>
          <w:sz w:val="32"/>
          <w:szCs w:val="32"/>
        </w:rPr>
        <w:t>（1）项目名称：昆明报业传媒集团采购招标代理服务（一包件2020年印刷材料采购招标代理服务）</w:t>
      </w:r>
    </w:p>
    <w:p>
      <w:pPr>
        <w:ind w:firstLine="640" w:firstLineChars="200"/>
        <w:rPr>
          <w:rFonts w:ascii="仿宋" w:hAnsi="仿宋" w:eastAsia="仿宋"/>
          <w:sz w:val="32"/>
          <w:szCs w:val="32"/>
        </w:rPr>
      </w:pPr>
      <w:r>
        <w:rPr>
          <w:rFonts w:hint="eastAsia" w:ascii="仿宋" w:hAnsi="仿宋" w:eastAsia="仿宋"/>
          <w:sz w:val="32"/>
          <w:szCs w:val="32"/>
        </w:rPr>
        <w:t>（2）服务内容：完成昆明报业传媒集团印刷材料采购的全过程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pPr>
        <w:ind w:firstLine="640" w:firstLineChars="200"/>
        <w:rPr>
          <w:rFonts w:ascii="仿宋" w:hAnsi="仿宋" w:eastAsia="仿宋"/>
          <w:sz w:val="32"/>
          <w:szCs w:val="32"/>
        </w:rPr>
      </w:pPr>
      <w:r>
        <w:rPr>
          <w:rFonts w:hint="eastAsia" w:ascii="仿宋" w:hAnsi="仿宋" w:eastAsia="仿宋"/>
          <w:sz w:val="32"/>
          <w:szCs w:val="32"/>
        </w:rPr>
        <w:t>（3）项目预算：</w:t>
      </w:r>
      <w:r>
        <w:rPr>
          <w:rFonts w:hint="eastAsia" w:ascii="仿宋" w:hAnsi="仿宋" w:eastAsia="仿宋"/>
          <w:sz w:val="32"/>
          <w:szCs w:val="32"/>
          <w:lang w:val="en-US" w:eastAsia="zh-CN"/>
        </w:rPr>
        <w:t>6</w:t>
      </w:r>
      <w:bookmarkStart w:id="49" w:name="_GoBack"/>
      <w:bookmarkEnd w:id="49"/>
      <w:r>
        <w:rPr>
          <w:rFonts w:hint="eastAsia" w:ascii="仿宋" w:hAnsi="仿宋" w:eastAsia="仿宋"/>
          <w:sz w:val="32"/>
          <w:szCs w:val="32"/>
        </w:rPr>
        <w:t>万元（招标代理费由委托人支付）</w:t>
      </w:r>
    </w:p>
    <w:p>
      <w:pPr>
        <w:ind w:firstLine="640" w:firstLineChars="200"/>
        <w:rPr>
          <w:rFonts w:ascii="仿宋" w:hAnsi="仿宋" w:eastAsia="仿宋"/>
          <w:sz w:val="32"/>
          <w:szCs w:val="32"/>
        </w:rPr>
      </w:pPr>
      <w:r>
        <w:rPr>
          <w:rFonts w:hint="eastAsia" w:ascii="仿宋" w:hAnsi="仿宋" w:eastAsia="仿宋"/>
          <w:sz w:val="32"/>
          <w:szCs w:val="32"/>
        </w:rPr>
        <w:t>（4）服务周期：自合同签订之日起至项目全过程招标代理工作结束，移交全部汇编资料止</w:t>
      </w:r>
    </w:p>
    <w:p>
      <w:pPr>
        <w:ind w:firstLine="640" w:firstLineChars="200"/>
        <w:rPr>
          <w:rFonts w:ascii="仿宋" w:hAnsi="仿宋" w:eastAsia="仿宋"/>
          <w:sz w:val="32"/>
          <w:szCs w:val="32"/>
        </w:rPr>
      </w:pPr>
      <w:r>
        <w:rPr>
          <w:rFonts w:hint="eastAsia" w:ascii="仿宋" w:hAnsi="仿宋" w:eastAsia="仿宋"/>
          <w:sz w:val="32"/>
          <w:szCs w:val="32"/>
        </w:rPr>
        <w:t>（5）服务地点：昆明市</w:t>
      </w:r>
    </w:p>
    <w:p>
      <w:pPr>
        <w:ind w:firstLine="640" w:firstLineChars="200"/>
        <w:rPr>
          <w:rFonts w:ascii="仿宋" w:hAnsi="仿宋" w:eastAsia="仿宋"/>
          <w:sz w:val="32"/>
          <w:szCs w:val="32"/>
        </w:rPr>
      </w:pPr>
      <w:r>
        <w:rPr>
          <w:rFonts w:hint="eastAsia" w:ascii="仿宋" w:hAnsi="仿宋" w:eastAsia="仿宋"/>
          <w:sz w:val="32"/>
          <w:szCs w:val="32"/>
        </w:rPr>
        <w:t>（6）质量要求：符合招标人要求</w:t>
      </w:r>
    </w:p>
    <w:p>
      <w:pPr>
        <w:ind w:firstLine="640" w:firstLineChars="200"/>
        <w:rPr>
          <w:rFonts w:ascii="仿宋" w:hAnsi="仿宋" w:eastAsia="仿宋"/>
          <w:sz w:val="32"/>
          <w:szCs w:val="32"/>
        </w:rPr>
      </w:pPr>
      <w:r>
        <w:rPr>
          <w:rFonts w:hint="eastAsia" w:ascii="仿宋" w:hAnsi="仿宋" w:eastAsia="仿宋"/>
          <w:sz w:val="32"/>
          <w:szCs w:val="32"/>
        </w:rPr>
        <w:t>（7）资格审查方式：采用资格后审方式</w:t>
      </w:r>
    </w:p>
    <w:p>
      <w:pPr>
        <w:ind w:firstLine="643" w:firstLineChars="200"/>
        <w:rPr>
          <w:rFonts w:ascii="仿宋" w:hAnsi="仿宋" w:eastAsia="仿宋"/>
          <w:b/>
          <w:sz w:val="32"/>
          <w:szCs w:val="32"/>
        </w:rPr>
      </w:pPr>
      <w:bookmarkStart w:id="6" w:name="_Toc25598444"/>
      <w:bookmarkStart w:id="7" w:name="_Toc25224"/>
      <w:bookmarkStart w:id="8" w:name="_Toc22250"/>
      <w:bookmarkStart w:id="9" w:name="_Toc519499372"/>
      <w:bookmarkStart w:id="10" w:name="_Toc10978263"/>
      <w:bookmarkStart w:id="11" w:name="_Toc519006785"/>
      <w:r>
        <w:rPr>
          <w:rFonts w:hint="eastAsia" w:ascii="仿宋" w:hAnsi="仿宋" w:eastAsia="仿宋"/>
          <w:b/>
          <w:sz w:val="32"/>
          <w:szCs w:val="32"/>
        </w:rPr>
        <w:t>三、供应商资格要求</w:t>
      </w:r>
      <w:bookmarkEnd w:id="6"/>
      <w:bookmarkEnd w:id="7"/>
      <w:bookmarkEnd w:id="8"/>
      <w:bookmarkEnd w:id="9"/>
      <w:bookmarkEnd w:id="10"/>
      <w:bookmarkEnd w:id="11"/>
    </w:p>
    <w:p>
      <w:pPr>
        <w:ind w:firstLine="640" w:firstLineChars="200"/>
        <w:rPr>
          <w:rFonts w:ascii="仿宋" w:hAnsi="仿宋" w:eastAsia="仿宋"/>
          <w:sz w:val="32"/>
          <w:szCs w:val="32"/>
        </w:rPr>
      </w:pPr>
      <w:r>
        <w:rPr>
          <w:rFonts w:hint="eastAsia" w:ascii="仿宋" w:hAnsi="仿宋" w:eastAsia="仿宋"/>
          <w:sz w:val="32"/>
          <w:szCs w:val="32"/>
        </w:rPr>
        <w:t>1.供应商必须是在中华人民共和国境内注册具有独立法人资格的企事业单位，同时满足以下资格条件：</w:t>
      </w:r>
    </w:p>
    <w:p>
      <w:pPr>
        <w:ind w:firstLine="640" w:firstLineChars="200"/>
        <w:rPr>
          <w:rFonts w:ascii="仿宋" w:hAnsi="仿宋" w:eastAsia="仿宋"/>
          <w:sz w:val="32"/>
          <w:szCs w:val="32"/>
        </w:rPr>
      </w:pPr>
      <w:r>
        <w:rPr>
          <w:rFonts w:hint="eastAsia" w:ascii="仿宋" w:hAnsi="仿宋" w:eastAsia="仿宋"/>
          <w:sz w:val="32"/>
          <w:szCs w:val="32"/>
        </w:rPr>
        <w:t>（1）营业执照：供应商须在中华人民共和国境内依法成立，具有有效的营业执照，且营业执照经营范围须包含招标代理服务；</w:t>
      </w:r>
    </w:p>
    <w:p>
      <w:pPr>
        <w:ind w:firstLine="640" w:firstLineChars="200"/>
        <w:rPr>
          <w:rFonts w:ascii="仿宋" w:hAnsi="仿宋" w:eastAsia="仿宋"/>
          <w:sz w:val="32"/>
          <w:szCs w:val="32"/>
        </w:rPr>
      </w:pPr>
      <w:r>
        <w:rPr>
          <w:rFonts w:hint="eastAsia" w:ascii="仿宋" w:hAnsi="仿宋" w:eastAsia="仿宋"/>
          <w:sz w:val="32"/>
          <w:szCs w:val="32"/>
        </w:rPr>
        <w:t>（2）信誉要求：1）未在“信用中国”网站（www.creditchina.gov.cn）被列入失信被执行人、重大税收违法案件当事人名单、政府采购严重违法失信名单；2）未在中国政府采购网（www.ccgp.gov.cn）被列入政府采购严重违法失信行为记录名单。</w:t>
      </w:r>
    </w:p>
    <w:p>
      <w:pPr>
        <w:ind w:firstLine="640" w:firstLineChars="200"/>
        <w:rPr>
          <w:rFonts w:ascii="仿宋" w:hAnsi="仿宋" w:eastAsia="仿宋"/>
          <w:sz w:val="32"/>
          <w:szCs w:val="32"/>
        </w:rPr>
      </w:pPr>
      <w:r>
        <w:rPr>
          <w:rFonts w:hint="eastAsia" w:ascii="仿宋" w:hAnsi="仿宋" w:eastAsia="仿宋"/>
          <w:sz w:val="32"/>
          <w:szCs w:val="32"/>
        </w:rPr>
        <w:t>（3）业绩要求：近三年（2018年1月1日至今）内承担过至少1项类似项目招标代理服务业绩，须提供类似项目业绩材料的原件扫描件（注：类似项目业绩材料指的是招标代理合同协议书或招标人、招标代理机构共同签发的中标通知书，详细规定请见竞争性磋商文件评审标准）。</w:t>
      </w:r>
    </w:p>
    <w:p>
      <w:pPr>
        <w:ind w:firstLine="640" w:firstLineChars="200"/>
        <w:rPr>
          <w:rFonts w:ascii="仿宋" w:hAnsi="仿宋" w:eastAsia="仿宋"/>
          <w:sz w:val="32"/>
          <w:szCs w:val="32"/>
        </w:rPr>
      </w:pPr>
      <w:r>
        <w:rPr>
          <w:rFonts w:hint="eastAsia" w:ascii="仿宋" w:hAnsi="仿宋" w:eastAsia="仿宋"/>
          <w:sz w:val="32"/>
          <w:szCs w:val="32"/>
        </w:rPr>
        <w:t>2.其他要求：</w:t>
      </w:r>
    </w:p>
    <w:p>
      <w:pPr>
        <w:ind w:firstLine="640" w:firstLineChars="200"/>
        <w:rPr>
          <w:rFonts w:ascii="仿宋" w:hAnsi="仿宋" w:eastAsia="仿宋"/>
          <w:sz w:val="32"/>
          <w:szCs w:val="32"/>
        </w:rPr>
      </w:pPr>
      <w:r>
        <w:rPr>
          <w:rFonts w:hint="eastAsia" w:ascii="仿宋" w:hAnsi="仿宋" w:eastAsia="仿宋"/>
          <w:sz w:val="32"/>
          <w:szCs w:val="32"/>
        </w:rPr>
        <w:t>（1）供应商须保证投标过程中所提供的业绩、人员证件及其他资料的真实性，如有弄虚作假，一经查实则取消其中标资格，由此产生的法律后果供应商自行负责。</w:t>
      </w:r>
    </w:p>
    <w:p>
      <w:pPr>
        <w:ind w:firstLine="640" w:firstLineChars="200"/>
        <w:rPr>
          <w:rFonts w:ascii="仿宋" w:hAnsi="仿宋" w:eastAsia="仿宋"/>
          <w:sz w:val="32"/>
          <w:szCs w:val="32"/>
        </w:rPr>
      </w:pPr>
      <w:r>
        <w:rPr>
          <w:rFonts w:hint="eastAsia" w:ascii="仿宋" w:hAnsi="仿宋" w:eastAsia="仿宋"/>
          <w:sz w:val="32"/>
          <w:szCs w:val="32"/>
        </w:rPr>
        <w:t>（2）本次磋商不接受联合体参加。</w:t>
      </w:r>
    </w:p>
    <w:p>
      <w:pPr>
        <w:ind w:firstLine="643" w:firstLineChars="200"/>
        <w:rPr>
          <w:rFonts w:ascii="仿宋" w:hAnsi="仿宋" w:eastAsia="仿宋"/>
          <w:b/>
          <w:sz w:val="32"/>
          <w:szCs w:val="32"/>
        </w:rPr>
      </w:pPr>
      <w:bookmarkStart w:id="12" w:name="_Toc10978265"/>
      <w:bookmarkStart w:id="13" w:name="_Toc25598445"/>
      <w:bookmarkStart w:id="14" w:name="_Toc9207"/>
      <w:bookmarkStart w:id="15" w:name="_Toc31059"/>
      <w:bookmarkStart w:id="16" w:name="_Toc519499374"/>
      <w:bookmarkStart w:id="17" w:name="_Toc519006787"/>
      <w:r>
        <w:rPr>
          <w:rFonts w:hint="eastAsia" w:ascii="仿宋" w:hAnsi="仿宋" w:eastAsia="仿宋"/>
          <w:b/>
          <w:sz w:val="32"/>
          <w:szCs w:val="32"/>
        </w:rPr>
        <w:t>四、竞争性磋商文件的获取</w:t>
      </w:r>
      <w:bookmarkEnd w:id="12"/>
      <w:bookmarkEnd w:id="13"/>
      <w:bookmarkEnd w:id="14"/>
      <w:bookmarkEnd w:id="15"/>
      <w:bookmarkEnd w:id="16"/>
      <w:bookmarkEnd w:id="17"/>
    </w:p>
    <w:p>
      <w:pPr>
        <w:ind w:firstLine="640" w:firstLineChars="200"/>
        <w:rPr>
          <w:rFonts w:ascii="仿宋" w:hAnsi="仿宋" w:eastAsia="仿宋"/>
          <w:sz w:val="32"/>
          <w:szCs w:val="32"/>
        </w:rPr>
      </w:pPr>
      <w:bookmarkStart w:id="18" w:name="_Toc507598608"/>
      <w:bookmarkStart w:id="19" w:name="_Toc507994341"/>
      <w:bookmarkStart w:id="20" w:name="_Toc507576618"/>
      <w:r>
        <w:rPr>
          <w:rFonts w:hint="eastAsia" w:ascii="仿宋" w:hAnsi="仿宋" w:eastAsia="仿宋"/>
          <w:sz w:val="32"/>
          <w:szCs w:val="32"/>
        </w:rPr>
        <w:t>各潜在供应商可</w:t>
      </w:r>
      <w:r>
        <w:rPr>
          <w:rFonts w:ascii="仿宋" w:hAnsi="仿宋" w:eastAsia="仿宋"/>
          <w:sz w:val="32"/>
          <w:szCs w:val="32"/>
        </w:rPr>
        <w:t>于</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w:t>
      </w:r>
      <w:r>
        <w:rPr>
          <w:rFonts w:ascii="仿宋" w:hAnsi="仿宋" w:eastAsia="仿宋"/>
          <w:sz w:val="32"/>
          <w:szCs w:val="32"/>
        </w:rPr>
        <w:t>日至</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w:t>
      </w:r>
      <w:r>
        <w:rPr>
          <w:rFonts w:hint="eastAsia" w:ascii="仿宋" w:hAnsi="仿宋" w:eastAsia="仿宋"/>
          <w:sz w:val="32"/>
          <w:szCs w:val="32"/>
        </w:rPr>
        <w:t>17:30</w:t>
      </w:r>
      <w:r>
        <w:rPr>
          <w:rFonts w:ascii="仿宋" w:hAnsi="仿宋" w:eastAsia="仿宋"/>
          <w:sz w:val="32"/>
          <w:szCs w:val="32"/>
        </w:rPr>
        <w:t xml:space="preserve"> 时</w:t>
      </w:r>
      <w:r>
        <w:rPr>
          <w:rFonts w:hint="eastAsia" w:ascii="仿宋" w:hAnsi="仿宋" w:eastAsia="仿宋"/>
          <w:sz w:val="32"/>
          <w:szCs w:val="32"/>
        </w:rPr>
        <w:t>（北京时间，下同）</w:t>
      </w:r>
      <w:r>
        <w:rPr>
          <w:rFonts w:ascii="仿宋" w:hAnsi="仿宋" w:eastAsia="仿宋"/>
          <w:sz w:val="32"/>
          <w:szCs w:val="32"/>
        </w:rPr>
        <w:t>，</w:t>
      </w:r>
      <w:r>
        <w:rPr>
          <w:rFonts w:hint="eastAsia" w:ascii="仿宋" w:hAnsi="仿宋" w:eastAsia="仿宋"/>
          <w:sz w:val="32"/>
          <w:szCs w:val="32"/>
        </w:rPr>
        <w:t>自行</w:t>
      </w:r>
      <w:r>
        <w:rPr>
          <w:rFonts w:ascii="仿宋" w:hAnsi="仿宋" w:eastAsia="仿宋"/>
          <w:sz w:val="32"/>
          <w:szCs w:val="32"/>
        </w:rPr>
        <w:t>在</w:t>
      </w:r>
      <w:r>
        <w:rPr>
          <w:rFonts w:hint="eastAsia" w:ascii="仿宋" w:hAnsi="仿宋" w:eastAsia="仿宋"/>
          <w:sz w:val="32"/>
          <w:szCs w:val="32"/>
        </w:rPr>
        <w:t>昆明信息港网站（www.kunming.cn）下载本项目的</w:t>
      </w:r>
      <w:r>
        <w:rPr>
          <w:rFonts w:ascii="仿宋" w:hAnsi="仿宋" w:eastAsia="仿宋"/>
          <w:sz w:val="32"/>
          <w:szCs w:val="32"/>
        </w:rPr>
        <w:t>竞争性磋商文件</w:t>
      </w:r>
      <w:r>
        <w:rPr>
          <w:rFonts w:hint="eastAsia" w:ascii="仿宋" w:hAnsi="仿宋" w:eastAsia="仿宋"/>
          <w:sz w:val="32"/>
          <w:szCs w:val="32"/>
        </w:rPr>
        <w:t>，此为获取竞争性磋商文件的唯一方式</w:t>
      </w:r>
      <w:r>
        <w:rPr>
          <w:rFonts w:ascii="仿宋" w:hAnsi="仿宋" w:eastAsia="仿宋"/>
          <w:sz w:val="32"/>
          <w:szCs w:val="32"/>
        </w:rPr>
        <w:t>。无论供应商下载与否，均视为已知晓所有磋商内容。</w:t>
      </w:r>
    </w:p>
    <w:p>
      <w:pPr>
        <w:ind w:firstLine="643" w:firstLineChars="200"/>
        <w:rPr>
          <w:rFonts w:ascii="仿宋" w:hAnsi="仿宋" w:eastAsia="仿宋"/>
          <w:b/>
          <w:sz w:val="32"/>
          <w:szCs w:val="32"/>
        </w:rPr>
      </w:pPr>
      <w:r>
        <w:rPr>
          <w:rFonts w:hint="eastAsia" w:ascii="仿宋" w:hAnsi="仿宋" w:eastAsia="仿宋"/>
          <w:b/>
          <w:sz w:val="32"/>
          <w:szCs w:val="32"/>
        </w:rPr>
        <w:t>五、现场踏勘</w:t>
      </w:r>
    </w:p>
    <w:p>
      <w:pPr>
        <w:ind w:firstLine="640" w:firstLineChars="200"/>
        <w:rPr>
          <w:rFonts w:ascii="仿宋" w:hAnsi="仿宋" w:eastAsia="仿宋"/>
          <w:sz w:val="32"/>
          <w:szCs w:val="32"/>
        </w:rPr>
      </w:pPr>
      <w:r>
        <w:rPr>
          <w:rFonts w:hint="eastAsia" w:ascii="仿宋" w:hAnsi="仿宋" w:eastAsia="仿宋"/>
          <w:sz w:val="32"/>
          <w:szCs w:val="32"/>
        </w:rPr>
        <w:t>本项目由采购人统一组织现场踏勘，时间及地点：2020年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日14：30，昆明市丹霞路198号昆明市新闻中心8楼802室。</w:t>
      </w:r>
    </w:p>
    <w:p>
      <w:pPr>
        <w:ind w:firstLine="643" w:firstLineChars="200"/>
        <w:rPr>
          <w:rFonts w:ascii="仿宋" w:hAnsi="仿宋" w:eastAsia="仿宋"/>
          <w:b/>
          <w:sz w:val="32"/>
          <w:szCs w:val="32"/>
        </w:rPr>
      </w:pPr>
      <w:bookmarkStart w:id="21" w:name="_Toc21505383"/>
      <w:bookmarkStart w:id="22" w:name="_Toc300677991"/>
      <w:bookmarkStart w:id="23" w:name="_Toc9178511"/>
      <w:bookmarkStart w:id="24" w:name="_Toc25598446"/>
      <w:r>
        <w:rPr>
          <w:rFonts w:hint="eastAsia" w:ascii="仿宋" w:hAnsi="仿宋" w:eastAsia="仿宋"/>
          <w:b/>
          <w:sz w:val="32"/>
          <w:szCs w:val="32"/>
        </w:rPr>
        <w:t>六、</w:t>
      </w:r>
      <w:r>
        <w:rPr>
          <w:rFonts w:ascii="仿宋" w:hAnsi="仿宋" w:eastAsia="仿宋"/>
          <w:b/>
          <w:sz w:val="32"/>
          <w:szCs w:val="32"/>
        </w:rPr>
        <w:t>响应文件的递交</w:t>
      </w:r>
      <w:bookmarkEnd w:id="21"/>
      <w:bookmarkEnd w:id="22"/>
      <w:bookmarkEnd w:id="23"/>
      <w:bookmarkEnd w:id="24"/>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递交响应文件的截止时间（即：投标截止时间，下同）及</w:t>
      </w:r>
      <w:r>
        <w:rPr>
          <w:rFonts w:hint="eastAsia" w:ascii="仿宋" w:hAnsi="仿宋" w:eastAsia="仿宋"/>
          <w:sz w:val="32"/>
          <w:szCs w:val="32"/>
        </w:rPr>
        <w:t>磋商</w:t>
      </w:r>
      <w:r>
        <w:rPr>
          <w:rFonts w:ascii="仿宋" w:hAnsi="仿宋" w:eastAsia="仿宋"/>
          <w:sz w:val="32"/>
          <w:szCs w:val="32"/>
        </w:rPr>
        <w:t>时间为</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w:t>
      </w:r>
      <w:r>
        <w:rPr>
          <w:rFonts w:hint="eastAsia" w:ascii="仿宋" w:hAnsi="仿宋" w:eastAsia="仿宋"/>
          <w:sz w:val="32"/>
          <w:szCs w:val="32"/>
        </w:rPr>
        <w:t xml:space="preserve"> 14</w:t>
      </w:r>
      <w:r>
        <w:rPr>
          <w:rFonts w:ascii="仿宋" w:hAnsi="仿宋" w:eastAsia="仿宋"/>
          <w:sz w:val="32"/>
          <w:szCs w:val="32"/>
        </w:rPr>
        <w:t xml:space="preserve">时 </w:t>
      </w:r>
      <w:r>
        <w:rPr>
          <w:rFonts w:hint="eastAsia" w:ascii="仿宋" w:hAnsi="仿宋" w:eastAsia="仿宋"/>
          <w:sz w:val="32"/>
          <w:szCs w:val="32"/>
        </w:rPr>
        <w:t>30</w:t>
      </w:r>
      <w:r>
        <w:rPr>
          <w:rFonts w:ascii="仿宋" w:hAnsi="仿宋" w:eastAsia="仿宋"/>
          <w:sz w:val="32"/>
          <w:szCs w:val="32"/>
        </w:rPr>
        <w:t xml:space="preserve"> 分，地点为</w:t>
      </w:r>
      <w:r>
        <w:rPr>
          <w:rFonts w:hint="eastAsia" w:ascii="仿宋" w:hAnsi="仿宋" w:eastAsia="仿宋"/>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逾期送达的</w:t>
      </w:r>
      <w:r>
        <w:rPr>
          <w:rFonts w:hint="eastAsia" w:ascii="仿宋" w:hAnsi="仿宋" w:eastAsia="仿宋"/>
          <w:sz w:val="32"/>
          <w:szCs w:val="32"/>
        </w:rPr>
        <w:t>、</w:t>
      </w:r>
      <w:r>
        <w:rPr>
          <w:rFonts w:ascii="仿宋" w:hAnsi="仿宋" w:eastAsia="仿宋"/>
          <w:sz w:val="32"/>
          <w:szCs w:val="32"/>
        </w:rPr>
        <w:t>未送达指定地点或</w:t>
      </w:r>
      <w:r>
        <w:rPr>
          <w:rFonts w:hint="eastAsia" w:ascii="仿宋" w:hAnsi="仿宋" w:eastAsia="仿宋"/>
          <w:sz w:val="32"/>
          <w:szCs w:val="32"/>
        </w:rPr>
        <w:t>未</w:t>
      </w:r>
      <w:r>
        <w:rPr>
          <w:rFonts w:ascii="仿宋" w:hAnsi="仿宋" w:eastAsia="仿宋"/>
          <w:sz w:val="32"/>
          <w:szCs w:val="32"/>
        </w:rPr>
        <w:t>按照竞争性磋商文件</w:t>
      </w:r>
      <w:r>
        <w:rPr>
          <w:rFonts w:hint="eastAsia" w:ascii="仿宋" w:hAnsi="仿宋" w:eastAsia="仿宋"/>
          <w:sz w:val="32"/>
          <w:szCs w:val="32"/>
        </w:rPr>
        <w:t>规定</w:t>
      </w:r>
      <w:r>
        <w:rPr>
          <w:rFonts w:ascii="仿宋" w:hAnsi="仿宋" w:eastAsia="仿宋"/>
          <w:sz w:val="32"/>
          <w:szCs w:val="32"/>
        </w:rPr>
        <w:t>密封的响应文件，</w:t>
      </w:r>
      <w:r>
        <w:rPr>
          <w:rFonts w:hint="eastAsia" w:ascii="仿宋" w:hAnsi="仿宋" w:eastAsia="仿宋"/>
          <w:sz w:val="32"/>
          <w:szCs w:val="32"/>
        </w:rPr>
        <w:t>采购</w:t>
      </w:r>
      <w:r>
        <w:rPr>
          <w:rFonts w:ascii="仿宋" w:hAnsi="仿宋" w:eastAsia="仿宋"/>
          <w:sz w:val="32"/>
          <w:szCs w:val="32"/>
        </w:rPr>
        <w:t>人将予以拒收。</w:t>
      </w:r>
    </w:p>
    <w:p>
      <w:pPr>
        <w:ind w:firstLine="643" w:firstLineChars="200"/>
        <w:rPr>
          <w:rFonts w:ascii="仿宋" w:hAnsi="仿宋" w:eastAsia="仿宋"/>
          <w:b/>
          <w:sz w:val="32"/>
          <w:szCs w:val="32"/>
        </w:rPr>
      </w:pPr>
      <w:bookmarkStart w:id="25" w:name="_Toc25598447"/>
      <w:r>
        <w:rPr>
          <w:rFonts w:hint="eastAsia" w:ascii="仿宋" w:hAnsi="仿宋" w:eastAsia="仿宋"/>
          <w:b/>
          <w:sz w:val="32"/>
          <w:szCs w:val="32"/>
        </w:rPr>
        <w:t>七、发布媒介</w:t>
      </w:r>
      <w:bookmarkEnd w:id="25"/>
    </w:p>
    <w:p>
      <w:pPr>
        <w:ind w:firstLine="640" w:firstLineChars="200"/>
        <w:rPr>
          <w:rFonts w:ascii="仿宋" w:hAnsi="仿宋" w:eastAsia="仿宋"/>
          <w:sz w:val="32"/>
          <w:szCs w:val="32"/>
        </w:rPr>
      </w:pPr>
      <w:r>
        <w:rPr>
          <w:rFonts w:hint="eastAsia" w:ascii="仿宋" w:hAnsi="仿宋" w:eastAsia="仿宋"/>
          <w:sz w:val="32"/>
          <w:szCs w:val="32"/>
        </w:rPr>
        <w:t>本项目竞争性磋商公告在昆明信息港网站（www.kunming.cn）上发布，采购人对其他网站或媒体转载的公告及公告内容不承担任何责任。</w:t>
      </w:r>
    </w:p>
    <w:p>
      <w:pPr>
        <w:ind w:firstLine="643" w:firstLineChars="200"/>
        <w:rPr>
          <w:rFonts w:ascii="仿宋" w:hAnsi="仿宋" w:eastAsia="仿宋"/>
          <w:b/>
          <w:sz w:val="32"/>
          <w:szCs w:val="32"/>
        </w:rPr>
      </w:pPr>
      <w:bookmarkStart w:id="26" w:name="_Toc519006790"/>
      <w:bookmarkStart w:id="27" w:name="_Toc10978269"/>
      <w:bookmarkStart w:id="28" w:name="_Toc519499377"/>
      <w:bookmarkStart w:id="29" w:name="_Toc25598448"/>
      <w:bookmarkStart w:id="30" w:name="_Toc26168"/>
      <w:bookmarkStart w:id="31" w:name="_Toc23849"/>
      <w:r>
        <w:rPr>
          <w:rFonts w:hint="eastAsia" w:ascii="仿宋" w:hAnsi="仿宋" w:eastAsia="仿宋"/>
          <w:b/>
          <w:sz w:val="32"/>
          <w:szCs w:val="32"/>
        </w:rPr>
        <w:t>八、联系方式</w:t>
      </w:r>
      <w:bookmarkEnd w:id="18"/>
      <w:bookmarkEnd w:id="19"/>
      <w:bookmarkEnd w:id="20"/>
      <w:bookmarkEnd w:id="26"/>
      <w:bookmarkEnd w:id="27"/>
      <w:bookmarkEnd w:id="28"/>
      <w:bookmarkEnd w:id="29"/>
      <w:bookmarkEnd w:id="30"/>
      <w:bookmarkEnd w:id="31"/>
    </w:p>
    <w:p>
      <w:pPr>
        <w:ind w:firstLine="640" w:firstLineChars="200"/>
        <w:rPr>
          <w:rFonts w:ascii="仿宋" w:hAnsi="仿宋" w:eastAsia="仿宋"/>
          <w:sz w:val="32"/>
          <w:szCs w:val="32"/>
        </w:rPr>
      </w:pPr>
      <w:r>
        <w:rPr>
          <w:rFonts w:hint="eastAsia" w:ascii="仿宋" w:hAnsi="仿宋" w:eastAsia="仿宋"/>
          <w:sz w:val="32"/>
          <w:szCs w:val="32"/>
        </w:rPr>
        <w:t xml:space="preserve">联系人：张老师 </w:t>
      </w:r>
    </w:p>
    <w:p>
      <w:pPr>
        <w:ind w:firstLine="640" w:firstLineChars="200"/>
        <w:rPr>
          <w:rFonts w:ascii="仿宋" w:hAnsi="仿宋" w:eastAsia="仿宋"/>
          <w:sz w:val="32"/>
          <w:szCs w:val="32"/>
        </w:rPr>
      </w:pPr>
      <w:r>
        <w:rPr>
          <w:rFonts w:hint="eastAsia" w:ascii="仿宋" w:hAnsi="仿宋" w:eastAsia="仿宋"/>
          <w:sz w:val="32"/>
          <w:szCs w:val="32"/>
        </w:rPr>
        <w:t>电  话：</w:t>
      </w:r>
      <w:r>
        <w:rPr>
          <w:rFonts w:ascii="仿宋" w:hAnsi="仿宋" w:eastAsia="仿宋"/>
          <w:sz w:val="32"/>
          <w:szCs w:val="32"/>
        </w:rPr>
        <w:t>18669015411</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第二章 磋商响应文件</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w:t>
      </w:r>
      <w:r>
        <w:rPr>
          <w:rFonts w:hint="eastAsia" w:ascii="仿宋" w:hAnsi="仿宋" w:eastAsia="仿宋"/>
          <w:sz w:val="32"/>
          <w:szCs w:val="32"/>
        </w:rPr>
        <w:t>响应</w:t>
      </w:r>
      <w:r>
        <w:rPr>
          <w:rFonts w:ascii="仿宋" w:hAnsi="仿宋" w:eastAsia="仿宋"/>
          <w:sz w:val="32"/>
          <w:szCs w:val="32"/>
        </w:rPr>
        <w:t>文件主要包括以下部分：</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r>
        <w:rPr>
          <w:rFonts w:hint="eastAsia" w:ascii="仿宋" w:hAnsi="仿宋" w:eastAsia="仿宋" w:cs="宋体"/>
          <w:kern w:val="0"/>
          <w:sz w:val="32"/>
          <w:szCs w:val="32"/>
        </w:rPr>
        <w:t>（格式见附件3）</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r>
        <w:rPr>
          <w:rFonts w:hint="eastAsia" w:ascii="仿宋" w:hAnsi="仿宋" w:eastAsia="仿宋" w:cs="宋体"/>
          <w:kern w:val="0"/>
          <w:sz w:val="32"/>
          <w:szCs w:val="32"/>
        </w:rPr>
        <w:t>（格式见附件4）</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r>
        <w:rPr>
          <w:rFonts w:hint="eastAsia" w:ascii="仿宋" w:hAnsi="仿宋" w:eastAsia="仿宋" w:cs="宋体"/>
          <w:kern w:val="0"/>
          <w:sz w:val="32"/>
          <w:szCs w:val="32"/>
        </w:rPr>
        <w:t>（格式见附件6）及业绩证明文件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r>
        <w:rPr>
          <w:rFonts w:hint="eastAsia" w:ascii="仿宋" w:hAnsi="仿宋" w:eastAsia="仿宋" w:cs="宋体"/>
          <w:kern w:val="0"/>
          <w:sz w:val="32"/>
          <w:szCs w:val="32"/>
        </w:rPr>
        <w:t>（格式见附件7）</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r>
        <w:rPr>
          <w:rFonts w:hint="eastAsia" w:ascii="仿宋" w:hAnsi="仿宋" w:eastAsia="仿宋" w:cs="宋体"/>
          <w:kern w:val="0"/>
          <w:sz w:val="32"/>
          <w:szCs w:val="32"/>
        </w:rPr>
        <w:t>（格式见附件8）</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（附件9）</w:t>
      </w:r>
    </w:p>
    <w:p>
      <w:pPr>
        <w:widowControl/>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供应商应按本磋商文件附件中提供的格式完整地填写磋商响应文件，没有提供格式的可以自行设计。</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二、磋商响应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廉政自律承诺书（附件9）要求一式四份，响应文件正、副本中各装订一份，单独提交一份由采购人纪检监察部门备案，乙方持有一份。</w:t>
      </w:r>
    </w:p>
    <w:p>
      <w:pPr>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三、相关要求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  万元，供应商的报价不得高于于本次采购最高限价，否则为无效标。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第三章 </w:t>
      </w:r>
      <w:r>
        <w:rPr>
          <w:rFonts w:asciiTheme="minorEastAsia" w:hAnsiTheme="minorEastAsia" w:eastAsiaTheme="minorEastAsia"/>
          <w:sz w:val="36"/>
          <w:szCs w:val="36"/>
        </w:rPr>
        <w:t>竞争性磋商流程</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磋商时间：20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w:t>
      </w: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 xml:space="preserve">0。 </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磋商地点：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w:t>
      </w:r>
      <w:r>
        <w:rPr>
          <w:rFonts w:hint="eastAsia" w:ascii="仿宋" w:hAnsi="仿宋" w:eastAsia="仿宋"/>
          <w:sz w:val="32"/>
          <w:szCs w:val="32"/>
        </w:rPr>
        <w:t>成交</w:t>
      </w:r>
      <w:r>
        <w:rPr>
          <w:rFonts w:ascii="仿宋" w:hAnsi="仿宋" w:eastAsia="仿宋"/>
          <w:sz w:val="32"/>
          <w:szCs w:val="32"/>
        </w:rPr>
        <w:t>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bookmarkStart w:id="32" w:name="_Toc485137803"/>
      <w:r>
        <w:rPr>
          <w:rFonts w:hint="eastAsia" w:ascii="仿宋" w:hAnsi="仿宋" w:eastAsia="仿宋"/>
          <w:sz w:val="32"/>
          <w:szCs w:val="32"/>
        </w:rPr>
        <w:t>五、</w:t>
      </w:r>
      <w:r>
        <w:rPr>
          <w:rFonts w:ascii="仿宋" w:hAnsi="仿宋" w:eastAsia="仿宋"/>
          <w:sz w:val="32"/>
          <w:szCs w:val="32"/>
        </w:rPr>
        <w:t>磋商程序及方法</w:t>
      </w:r>
      <w:bookmarkEnd w:id="32"/>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.1资格性检查。依据竞争性磋商文件</w:t>
      </w:r>
      <w:r>
        <w:rPr>
          <w:rFonts w:hint="eastAsia" w:ascii="仿宋" w:hAnsi="仿宋" w:eastAsia="仿宋"/>
          <w:sz w:val="32"/>
          <w:szCs w:val="32"/>
        </w:rPr>
        <w:t>“供应商资格要求”</w:t>
      </w:r>
      <w:r>
        <w:rPr>
          <w:rFonts w:ascii="仿宋" w:hAnsi="仿宋" w:eastAsia="仿宋"/>
          <w:sz w:val="32"/>
          <w:szCs w:val="32"/>
        </w:rPr>
        <w:t>的规定，对响应文件中的资格证明等进行审查，以确定供应商是否具备磋商资格。</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磋商小组采用综合评</w:t>
      </w:r>
      <w:r>
        <w:rPr>
          <w:rFonts w:hint="eastAsia" w:ascii="仿宋" w:hAnsi="仿宋" w:eastAsia="仿宋"/>
          <w:sz w:val="32"/>
          <w:szCs w:val="32"/>
        </w:rPr>
        <w:t>审</w:t>
      </w:r>
      <w:r>
        <w:rPr>
          <w:rFonts w:ascii="仿宋" w:hAnsi="仿宋" w:eastAsia="仿宋"/>
          <w:sz w:val="32"/>
          <w:szCs w:val="32"/>
        </w:rPr>
        <w:t>法对提交最后报价的供应商的响应文件和最后报价（含有效书面承诺）进行综合评分。综合评</w:t>
      </w:r>
      <w:r>
        <w:rPr>
          <w:rFonts w:hint="eastAsia" w:ascii="仿宋" w:hAnsi="仿宋" w:eastAsia="仿宋"/>
          <w:sz w:val="32"/>
          <w:szCs w:val="32"/>
        </w:rPr>
        <w:t>审</w:t>
      </w:r>
      <w:r>
        <w:rPr>
          <w:rFonts w:ascii="仿宋" w:hAnsi="仿宋" w:eastAsia="仿宋"/>
          <w:sz w:val="32"/>
          <w:szCs w:val="32"/>
        </w:rPr>
        <w:t>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w:t>
      </w:r>
      <w:r>
        <w:rPr>
          <w:rFonts w:ascii="仿宋" w:hAnsi="仿宋" w:eastAsia="仿宋"/>
          <w:sz w:val="32"/>
          <w:szCs w:val="32"/>
        </w:rPr>
        <w:t>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评审标准</w:t>
      </w:r>
    </w:p>
    <w:tbl>
      <w:tblPr>
        <w:tblStyle w:val="11"/>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lang w:val="en-US" w:eastAsia="zh-CN"/>
              </w:rPr>
              <w:t>3</w:t>
            </w:r>
            <w:r>
              <w:rPr>
                <w:rFonts w:hint="eastAsia" w:ascii="仿宋" w:hAnsi="仿宋" w:eastAsia="仿宋"/>
                <w:sz w:val="18"/>
                <w:szCs w:val="18"/>
              </w:rPr>
              <w:t>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lang w:val="en-US" w:eastAsia="zh-CN"/>
              </w:rPr>
              <w:t>3</w:t>
            </w:r>
            <w:r>
              <w:rPr>
                <w:rFonts w:hint="eastAsia" w:ascii="仿宋" w:hAnsi="仿宋" w:eastAsia="仿宋"/>
                <w:sz w:val="18"/>
                <w:szCs w:val="18"/>
              </w:rPr>
              <w:t>5</w:t>
            </w:r>
            <w:r>
              <w:rPr>
                <w:rFonts w:ascii="仿宋" w:hAnsi="仿宋" w:eastAsia="仿宋"/>
                <w:sz w:val="18"/>
                <w:szCs w:val="18"/>
              </w:rPr>
              <w:t>～</w:t>
            </w:r>
            <w:r>
              <w:rPr>
                <w:rFonts w:hint="eastAsia" w:ascii="仿宋" w:hAnsi="仿宋" w:eastAsia="仿宋"/>
                <w:sz w:val="18"/>
                <w:szCs w:val="18"/>
                <w:lang w:val="en-US" w:eastAsia="zh-CN"/>
              </w:rPr>
              <w:t>2</w:t>
            </w:r>
            <w:r>
              <w:rPr>
                <w:rFonts w:hint="eastAsia" w:ascii="仿宋" w:hAnsi="仿宋" w:eastAsia="仿宋"/>
                <w:sz w:val="18"/>
                <w:szCs w:val="18"/>
              </w:rPr>
              <w:t>8</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lang w:val="en-US" w:eastAsia="zh-CN"/>
              </w:rPr>
              <w:t>2</w:t>
            </w:r>
            <w:r>
              <w:rPr>
                <w:rFonts w:hint="eastAsia" w:ascii="仿宋" w:hAnsi="仿宋" w:eastAsia="仿宋"/>
                <w:sz w:val="18"/>
                <w:szCs w:val="18"/>
              </w:rPr>
              <w:t>7</w:t>
            </w:r>
            <w:r>
              <w:rPr>
                <w:rFonts w:ascii="仿宋" w:hAnsi="仿宋" w:eastAsia="仿宋"/>
                <w:sz w:val="18"/>
                <w:szCs w:val="18"/>
              </w:rPr>
              <w:t>～</w:t>
            </w:r>
            <w:r>
              <w:rPr>
                <w:rFonts w:hint="eastAsia" w:ascii="仿宋" w:hAnsi="仿宋" w:eastAsia="仿宋"/>
                <w:sz w:val="18"/>
                <w:szCs w:val="18"/>
                <w:lang w:val="en-US" w:eastAsia="zh-CN"/>
              </w:rPr>
              <w:t>16</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lang w:val="en-US" w:eastAsia="zh-CN"/>
              </w:rPr>
              <w:t>15</w:t>
            </w:r>
            <w:r>
              <w:rPr>
                <w:rFonts w:ascii="仿宋" w:hAnsi="仿宋" w:eastAsia="仿宋"/>
                <w:sz w:val="18"/>
                <w:szCs w:val="18"/>
              </w:rPr>
              <w:t>～</w:t>
            </w:r>
            <w:r>
              <w:rPr>
                <w:rFonts w:hint="eastAsia" w:ascii="仿宋" w:hAnsi="仿宋" w:eastAsia="仿宋"/>
                <w:sz w:val="18"/>
                <w:szCs w:val="18"/>
                <w:lang w:val="en-US" w:eastAsia="zh-CN"/>
              </w:rPr>
              <w:t>6</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lang w:val="en-US" w:eastAsia="zh-CN"/>
              </w:rPr>
              <w:t>5</w:t>
            </w:r>
            <w:r>
              <w:rPr>
                <w:rFonts w:ascii="仿宋" w:hAnsi="仿宋" w:eastAsia="仿宋"/>
                <w:sz w:val="18"/>
                <w:szCs w:val="18"/>
              </w:rPr>
              <w:t>～</w:t>
            </w:r>
            <w:r>
              <w:rPr>
                <w:rFonts w:hint="eastAsia" w:ascii="仿宋" w:hAnsi="仿宋" w:eastAsia="仿宋"/>
                <w:sz w:val="18"/>
                <w:szCs w:val="18"/>
              </w:rPr>
              <w:t>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类似业绩</w:t>
            </w:r>
          </w:p>
        </w:tc>
        <w:tc>
          <w:tcPr>
            <w:tcW w:w="904" w:type="dxa"/>
            <w:tcBorders>
              <w:top w:val="single" w:color="auto" w:sz="4" w:space="0"/>
              <w:bottom w:val="single" w:color="auto" w:sz="4" w:space="0"/>
            </w:tcBorders>
            <w:vAlign w:val="center"/>
          </w:tcPr>
          <w:p>
            <w:pPr>
              <w:ind w:firstLine="360" w:firstLineChars="200"/>
              <w:rPr>
                <w:rFonts w:hint="default" w:ascii="仿宋" w:hAnsi="仿宋" w:eastAsia="仿宋"/>
                <w:sz w:val="18"/>
                <w:szCs w:val="18"/>
                <w:lang w:val="en-US" w:eastAsia="zh-CN"/>
              </w:rPr>
            </w:pPr>
            <w:r>
              <w:rPr>
                <w:rFonts w:hint="eastAsia" w:ascii="仿宋" w:hAnsi="仿宋" w:eastAsia="仿宋"/>
                <w:sz w:val="18"/>
                <w:szCs w:val="18"/>
                <w:lang w:val="en-US" w:eastAsia="zh-CN"/>
              </w:rPr>
              <w:t>15</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1.类似业绩指2018年至今承担过的单项中标金额100万元及以上货物采购项目的招标代理业绩</w:t>
            </w:r>
            <w:r>
              <w:rPr>
                <w:rFonts w:hint="eastAsia"/>
                <w:color w:val="000000"/>
                <w:shd w:val="clear" w:color="auto" w:fill="FFFFFF"/>
              </w:rPr>
              <w:t>。</w:t>
            </w:r>
          </w:p>
          <w:p>
            <w:pPr>
              <w:jc w:val="left"/>
              <w:rPr>
                <w:rFonts w:ascii="仿宋" w:hAnsi="仿宋" w:eastAsia="仿宋"/>
                <w:sz w:val="18"/>
                <w:szCs w:val="18"/>
              </w:rPr>
            </w:pPr>
            <w:r>
              <w:rPr>
                <w:rFonts w:hint="eastAsia" w:ascii="仿宋" w:hAnsi="仿宋" w:eastAsia="仿宋"/>
                <w:sz w:val="18"/>
                <w:szCs w:val="18"/>
              </w:rPr>
              <w:t>2.每个有效业绩得分2.5分。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hint="default" w:ascii="仿宋" w:hAnsi="仿宋" w:eastAsia="仿宋"/>
                <w:sz w:val="18"/>
                <w:szCs w:val="18"/>
                <w:lang w:val="en-US" w:eastAsia="zh-CN"/>
              </w:rPr>
            </w:pPr>
            <w:r>
              <w:rPr>
                <w:rFonts w:hint="eastAsia" w:ascii="仿宋" w:hAnsi="仿宋" w:eastAsia="仿宋"/>
                <w:sz w:val="18"/>
                <w:szCs w:val="18"/>
                <w:lang w:val="en-US" w:eastAsia="zh-CN"/>
              </w:rPr>
              <w:t>50</w:t>
            </w:r>
          </w:p>
        </w:tc>
        <w:tc>
          <w:tcPr>
            <w:tcW w:w="6246" w:type="dxa"/>
            <w:gridSpan w:val="4"/>
            <w:tcBorders>
              <w:top w:val="single" w:color="auto" w:sz="4" w:space="0"/>
            </w:tcBorders>
            <w:vAlign w:val="center"/>
          </w:tcPr>
          <w:p>
            <w:pPr>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w:t>
            </w:r>
            <w:r>
              <w:rPr>
                <w:rFonts w:hint="eastAsia" w:ascii="仿宋" w:hAnsi="仿宋" w:eastAsia="仿宋"/>
                <w:sz w:val="18"/>
                <w:szCs w:val="18"/>
                <w:lang w:val="en-US" w:eastAsia="zh-CN"/>
              </w:rPr>
              <w:t>50</w:t>
            </w:r>
            <w:r>
              <w:rPr>
                <w:rFonts w:hint="eastAsia" w:ascii="仿宋" w:hAnsi="仿宋" w:eastAsia="仿宋"/>
                <w:sz w:val="18"/>
                <w:szCs w:val="18"/>
              </w:rPr>
              <w:t xml:space="preserve">分。其他供应商的磋商报价分值统一按照下列公式计算： </w:t>
            </w:r>
          </w:p>
          <w:p>
            <w:pPr>
              <w:ind w:firstLine="540" w:firstLineChars="300"/>
              <w:rPr>
                <w:rFonts w:hint="default" w:ascii="仿宋" w:hAnsi="仿宋" w:eastAsia="仿宋"/>
                <w:sz w:val="18"/>
                <w:szCs w:val="18"/>
                <w:lang w:val="en-US" w:eastAsia="zh-CN"/>
              </w:rPr>
            </w:pPr>
            <w:r>
              <w:rPr>
                <w:rFonts w:hint="eastAsia" w:ascii="仿宋" w:hAnsi="仿宋" w:eastAsia="仿宋"/>
                <w:sz w:val="18"/>
                <w:szCs w:val="18"/>
              </w:rPr>
              <w:t>磋商报价得分=【磋商基准价／磋商报价（供应商的二次报价）】×</w:t>
            </w:r>
            <w:r>
              <w:rPr>
                <w:rFonts w:hint="eastAsia" w:ascii="仿宋" w:hAnsi="仿宋" w:eastAsia="仿宋"/>
                <w:sz w:val="18"/>
                <w:szCs w:val="18"/>
                <w:lang w:val="en-US" w:eastAsia="zh-CN"/>
              </w:rPr>
              <w:t>50</w:t>
            </w:r>
          </w:p>
        </w:tc>
      </w:tr>
    </w:tbl>
    <w:p>
      <w:pPr>
        <w:ind w:firstLine="640" w:firstLineChars="200"/>
        <w:rPr>
          <w:rFonts w:ascii="仿宋" w:hAnsi="仿宋" w:eastAsia="仿宋"/>
          <w:sz w:val="32"/>
          <w:szCs w:val="32"/>
        </w:rPr>
      </w:pPr>
      <w:bookmarkStart w:id="33" w:name="_Toc485137805"/>
      <w:r>
        <w:rPr>
          <w:rFonts w:hint="eastAsia" w:ascii="仿宋" w:hAnsi="仿宋" w:eastAsia="仿宋"/>
          <w:sz w:val="32"/>
          <w:szCs w:val="32"/>
        </w:rPr>
        <w:t>六、</w:t>
      </w:r>
      <w:r>
        <w:rPr>
          <w:rFonts w:ascii="仿宋" w:hAnsi="仿宋" w:eastAsia="仿宋"/>
          <w:sz w:val="32"/>
          <w:szCs w:val="32"/>
        </w:rPr>
        <w:t>无效响应</w:t>
      </w:r>
      <w:bookmarkEnd w:id="33"/>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34" w:name="_Toc485137806"/>
      <w:r>
        <w:rPr>
          <w:rFonts w:hint="eastAsia" w:ascii="仿宋" w:hAnsi="仿宋" w:eastAsia="仿宋"/>
          <w:sz w:val="32"/>
          <w:szCs w:val="32"/>
        </w:rPr>
        <w:t>七、</w:t>
      </w:r>
      <w:r>
        <w:rPr>
          <w:rFonts w:ascii="仿宋" w:hAnsi="仿宋" w:eastAsia="仿宋"/>
          <w:sz w:val="32"/>
          <w:szCs w:val="32"/>
        </w:rPr>
        <w:t>采购终止</w:t>
      </w:r>
      <w:bookmarkEnd w:id="34"/>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第四章 成交及签订合同</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、成交通知</w:t>
      </w:r>
    </w:p>
    <w:p>
      <w:pPr>
        <w:ind w:firstLine="640" w:firstLineChars="200"/>
        <w:rPr>
          <w:rFonts w:ascii="仿宋" w:hAnsi="仿宋" w:eastAsia="仿宋"/>
          <w:sz w:val="32"/>
          <w:szCs w:val="32"/>
        </w:rPr>
      </w:pPr>
      <w:r>
        <w:rPr>
          <w:rFonts w:hint="eastAsia" w:ascii="仿宋" w:hAnsi="仿宋" w:eastAsia="仿宋"/>
          <w:sz w:val="32"/>
          <w:szCs w:val="32"/>
        </w:rPr>
        <w:t>1.经公示后，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、签订合同</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成交供应商按成交通知指定时间、地点与采购人签订采购合同。</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如成交供应商放弃成交项目或在签订合同时改变成交状态，采购方将取消其成交资格，并追究成交供应商的相关法律责任</w:t>
      </w:r>
      <w:r>
        <w:rPr>
          <w:rFonts w:hint="eastAsia" w:ascii="仿宋" w:hAnsi="仿宋" w:eastAsia="仿宋"/>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autoSpaceDE w:val="0"/>
        <w:autoSpaceDN w:val="0"/>
        <w:adjustRightInd w:val="0"/>
        <w:snapToGrid w:val="0"/>
        <w:rPr>
          <w:rFonts w:ascii="仿宋" w:hAnsi="仿宋" w:eastAsia="仿宋"/>
          <w:sz w:val="32"/>
          <w:szCs w:val="32"/>
        </w:rPr>
      </w:pPr>
      <w:r>
        <w:rPr>
          <w:rFonts w:hint="eastAsia" w:ascii="仿宋" w:hAnsi="仿宋" w:eastAsia="仿宋"/>
          <w:sz w:val="32"/>
          <w:szCs w:val="32"/>
        </w:rPr>
        <w:t>附件：</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p>
    <w:p>
      <w:pPr>
        <w:spacing w:line="600" w:lineRule="exact"/>
        <w:ind w:firstLine="640" w:firstLineChars="200"/>
        <w:rPr>
          <w:rFonts w:ascii="仿宋" w:hAnsi="仿宋" w:eastAsia="仿宋"/>
          <w:sz w:val="32"/>
          <w:szCs w:val="32"/>
        </w:rPr>
        <w:sectPr>
          <w:footerReference r:id="rId3" w:type="default"/>
          <w:pgSz w:w="11906" w:h="16838"/>
          <w:pgMar w:top="1134" w:right="1418" w:bottom="1134" w:left="1418" w:header="851" w:footer="992" w:gutter="0"/>
          <w:cols w:space="720" w:num="1"/>
          <w:docGrid w:type="lines" w:linePitch="312" w:charSpace="0"/>
        </w:sectPr>
      </w:pPr>
    </w:p>
    <w:p>
      <w:pPr>
        <w:widowControl/>
        <w:spacing w:line="520" w:lineRule="exact"/>
        <w:jc w:val="left"/>
        <w:rPr>
          <w:rFonts w:eastAsia="方正仿宋_GBK"/>
          <w:color w:val="000000"/>
          <w:kern w:val="0"/>
          <w:sz w:val="32"/>
          <w:szCs w:val="32"/>
        </w:rPr>
      </w:pPr>
      <w:r>
        <w:rPr>
          <w:rFonts w:hint="eastAsia" w:eastAsia="方正仿宋_GBK"/>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90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37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0" w:hRule="atLeast"/>
          <w:jc w:val="center"/>
        </w:trPr>
        <w:tc>
          <w:tcPr>
            <w:tcW w:w="6908"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378"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9286" w:type="dxa"/>
            <w:gridSpan w:val="2"/>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w:t>
            </w:r>
            <w:r>
              <w:rPr>
                <w:rFonts w:hint="eastAsia" w:eastAsia="方正仿宋_GBK"/>
                <w:sz w:val="28"/>
                <w:szCs w:val="28"/>
                <w:lang w:val="zh-CN"/>
              </w:rPr>
              <w:t xml:space="preserve">     </w:t>
            </w:r>
            <w:r>
              <w:rPr>
                <w:rFonts w:eastAsia="方正仿宋_GBK"/>
                <w:sz w:val="28"/>
                <w:szCs w:val="28"/>
                <w:lang w:val="zh-CN"/>
              </w:rPr>
              <w:t xml:space="preserve"> 年 </w:t>
            </w:r>
            <w:r>
              <w:rPr>
                <w:rFonts w:hint="eastAsia" w:eastAsia="方正仿宋_GBK"/>
                <w:sz w:val="28"/>
                <w:szCs w:val="28"/>
                <w:lang w:val="zh-CN"/>
              </w:rPr>
              <w:t xml:space="preserve">    </w:t>
            </w:r>
            <w:r>
              <w:rPr>
                <w:rFonts w:eastAsia="方正仿宋_GBK"/>
                <w:sz w:val="28"/>
                <w:szCs w:val="28"/>
                <w:lang w:val="zh-CN"/>
              </w:rPr>
              <w:t xml:space="preserve"> 月   日</w:t>
            </w:r>
          </w:p>
        </w:tc>
      </w:tr>
    </w:tbl>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35" w:name="_Toc517860627"/>
      <w:r>
        <w:rPr>
          <w:rFonts w:eastAsia="方正仿宋_GBK"/>
          <w:color w:val="000000"/>
          <w:kern w:val="0"/>
          <w:sz w:val="32"/>
          <w:szCs w:val="32"/>
        </w:rPr>
        <w:t>附件</w:t>
      </w:r>
      <w:r>
        <w:rPr>
          <w:rFonts w:hint="eastAsia" w:eastAsia="方正仿宋_GBK"/>
          <w:color w:val="000000"/>
          <w:kern w:val="0"/>
          <w:sz w:val="32"/>
          <w:szCs w:val="32"/>
        </w:rPr>
        <w:t>3</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35"/>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 xml:space="preserve">                                                </w:t>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年龄：</w:t>
      </w:r>
      <w:r>
        <w:rPr>
          <w:rFonts w:ascii="宋体" w:hAnsi="宋体"/>
          <w:u w:val="single"/>
        </w:rPr>
        <w:t xml:space="preserve">          </w:t>
      </w:r>
      <w:r>
        <w:rPr>
          <w:rFonts w:ascii="宋体" w:hAnsi="宋体"/>
        </w:rPr>
        <w:t xml:space="preserve"> 职务：</w:t>
      </w:r>
      <w:r>
        <w:rPr>
          <w:rFonts w:hint="eastAsia" w:ascii="宋体" w:hAnsi="宋体"/>
          <w:u w:val="single"/>
        </w:rPr>
        <w:t xml:space="preserve">        </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w:t>
      </w:r>
      <w:r>
        <w:rPr>
          <w:rFonts w:hint="eastAsia" w:ascii="宋体" w:hAnsi="宋体"/>
          <w:u w:val="single"/>
        </w:rPr>
        <w:t xml:space="preserve">        </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36" w:name="_Toc102161175"/>
      <w:bookmarkStart w:id="37" w:name="_Toc79575068"/>
      <w:bookmarkStart w:id="38" w:name="_Toc517860628"/>
      <w:bookmarkStart w:id="39" w:name="_Toc210016355"/>
      <w:bookmarkStart w:id="40" w:name="_Toc133891418"/>
      <w:bookmarkStart w:id="41" w:name="_Toc509407137"/>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4</w:t>
      </w:r>
      <w:r>
        <w:rPr>
          <w:rFonts w:ascii="Times New Roman" w:hAnsi="Times New Roman" w:eastAsia="方正仿宋_GBK" w:cs="Times New Roman"/>
          <w:b w:val="0"/>
          <w:bCs w:val="0"/>
          <w:color w:val="000000"/>
          <w:kern w:val="0"/>
          <w:sz w:val="32"/>
          <w:szCs w:val="32"/>
        </w:rPr>
        <w:t>：</w:t>
      </w:r>
    </w:p>
    <w:bookmarkEnd w:id="36"/>
    <w:bookmarkEnd w:id="37"/>
    <w:p>
      <w:pPr>
        <w:pStyle w:val="2"/>
        <w:jc w:val="center"/>
      </w:pPr>
      <w:r>
        <w:rPr>
          <w:rFonts w:hint="eastAsia"/>
        </w:rPr>
        <w:t>法定代表人授权委托书</w:t>
      </w:r>
      <w:bookmarkEnd w:id="38"/>
      <w:bookmarkEnd w:id="39"/>
      <w:bookmarkEnd w:id="40"/>
      <w:bookmarkEnd w:id="41"/>
      <w:r>
        <w:rPr>
          <w:rFonts w:hint="eastAsia"/>
        </w:rPr>
        <w:t xml:space="preserve">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ascii="宋体" w:hAnsi="宋体" w:cs="宋体"/>
          <w:kern w:val="0"/>
          <w:u w:val="single"/>
        </w:rPr>
        <w:t xml:space="preserve"> </w:t>
      </w:r>
      <w:r>
        <w:rPr>
          <w:rFonts w:hint="eastAsia" w:ascii="宋体" w:hAnsi="宋体" w:cs="宋体"/>
          <w:kern w:val="0"/>
          <w:u w:val="single"/>
        </w:rPr>
        <w:t xml:space="preserve">（姓名） </w:t>
      </w:r>
      <w:r>
        <w:rPr>
          <w:rFonts w:hint="eastAsia" w:ascii="宋体" w:hAnsi="宋体" w:cs="宋体"/>
          <w:kern w:val="0"/>
        </w:rPr>
        <w:t>系</w:t>
      </w:r>
      <w:r>
        <w:rPr>
          <w:rFonts w:ascii="宋体" w:hAnsi="宋体" w:cs="宋体"/>
          <w:kern w:val="0"/>
          <w:u w:val="single"/>
        </w:rPr>
        <w:t xml:space="preserve"> </w:t>
      </w:r>
      <w:r>
        <w:rPr>
          <w:rFonts w:hint="eastAsia" w:ascii="宋体" w:hAnsi="宋体" w:cs="宋体"/>
          <w:kern w:val="0"/>
          <w:u w:val="single"/>
        </w:rPr>
        <w:t xml:space="preserve">（供应商名称）  </w:t>
      </w:r>
      <w:r>
        <w:rPr>
          <w:rFonts w:hint="eastAsia" w:ascii="宋体" w:hAnsi="宋体" w:cs="宋体"/>
          <w:kern w:val="0"/>
        </w:rPr>
        <w:t>的法定代表人，现委托</w:t>
      </w:r>
      <w:r>
        <w:rPr>
          <w:rFonts w:ascii="宋体" w:hAnsi="宋体" w:cs="宋体"/>
          <w:kern w:val="0"/>
          <w:u w:val="single"/>
        </w:rPr>
        <w:t xml:space="preserve"> </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ascii="宋体" w:hAnsi="宋体" w:cs="宋体"/>
          <w:kern w:val="0"/>
          <w:u w:val="single"/>
        </w:rPr>
        <w:t xml:space="preserve"> </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r>
        <w:rPr>
          <w:rFonts w:ascii="宋体" w:hAnsi="宋体" w:cs="宋体"/>
          <w:kern w:val="0"/>
          <w:u w:val="single"/>
        </w:rPr>
        <w:t xml:space="preserve"> </w:t>
      </w:r>
      <w:r>
        <w:rPr>
          <w:rFonts w:hint="eastAsia" w:ascii="宋体" w:hAnsi="宋体" w:cs="宋体"/>
          <w:kern w:val="0"/>
          <w:u w:val="single"/>
        </w:rPr>
        <w:t xml:space="preserve">                                </w:t>
      </w:r>
      <w:r>
        <w:rPr>
          <w:rFonts w:hint="eastAsia" w:ascii="宋体" w:hAnsi="宋体" w:cs="宋体"/>
          <w:kern w:val="0"/>
        </w:rPr>
        <w:t xml:space="preserve">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42"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2018年以来类似业绩一览表</w:t>
      </w:r>
      <w:bookmarkEnd w:id="42"/>
    </w:p>
    <w:tbl>
      <w:tblPr>
        <w:tblStyle w:val="11"/>
        <w:tblW w:w="9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2.类似业绩指2018年至今承担过的单项中标金额100万元及以上货物采购项目的招标代理业绩。</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43" w:name="_Toc414969717"/>
      <w:r>
        <w:rPr>
          <w:rFonts w:hint="eastAsia" w:ascii="Times New Roman" w:hAnsi="Times New Roman" w:eastAsia="方正仿宋_GBK" w:cs="Times New Roman"/>
          <w:b w:val="0"/>
          <w:bCs w:val="0"/>
          <w:color w:val="000000"/>
          <w:kern w:val="0"/>
          <w:sz w:val="32"/>
          <w:szCs w:val="32"/>
        </w:rPr>
        <w:t>附件7：</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8</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43"/>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44"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44"/>
    <w:p>
      <w:pPr>
        <w:spacing w:line="480" w:lineRule="exact"/>
        <w:ind w:firstLine="560" w:firstLineChars="200"/>
        <w:rPr>
          <w:rFonts w:ascii="宋体" w:hAnsi="宋体" w:cs="宋体"/>
          <w:sz w:val="28"/>
          <w:szCs w:val="28"/>
        </w:rPr>
      </w:pPr>
      <w:r>
        <w:rPr>
          <w:rFonts w:hint="eastAsia" w:ascii="宋体" w:hAnsi="宋体" w:cs="宋体"/>
          <w:sz w:val="28"/>
          <w:szCs w:val="28"/>
        </w:rPr>
        <w:t>2.提供在递交磋商文件截止时间前未被列入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45" w:name="_Toc432697243"/>
      <w:bookmarkStart w:id="46" w:name="_Toc287279812"/>
      <w:bookmarkStart w:id="47" w:name="_Toc10485800"/>
      <w:bookmarkStart w:id="48" w:name="_Toc316479151"/>
      <w:r>
        <w:rPr>
          <w:rFonts w:hint="eastAsia" w:eastAsia="方正仿宋_GBK"/>
          <w:color w:val="000000"/>
          <w:kern w:val="0"/>
          <w:sz w:val="32"/>
          <w:szCs w:val="32"/>
        </w:rPr>
        <w:t>附件9：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45"/>
      <w:bookmarkEnd w:id="46"/>
      <w:bookmarkEnd w:id="47"/>
      <w:bookmarkEnd w:id="48"/>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 xml:space="preserve">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w:t>
      </w:r>
      <w:r>
        <w:rPr>
          <w:rFonts w:hint="eastAsia"/>
          <w:b/>
          <w:bCs/>
          <w:sz w:val="30"/>
          <w:szCs w:val="30"/>
          <w:u w:val="single"/>
        </w:rPr>
        <w:t xml:space="preserve">               </w:t>
      </w:r>
      <w:r>
        <w:rPr>
          <w:rFonts w:hint="eastAsia"/>
          <w:sz w:val="30"/>
          <w:szCs w:val="30"/>
        </w:rPr>
        <w:t>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5" o:spid="_x0000_s4097"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0C2"/>
    <w:rsid w:val="000F6BCC"/>
    <w:rsid w:val="00140F68"/>
    <w:rsid w:val="00141477"/>
    <w:rsid w:val="001420E5"/>
    <w:rsid w:val="0014798E"/>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3D41"/>
    <w:rsid w:val="00387776"/>
    <w:rsid w:val="003B04DE"/>
    <w:rsid w:val="003B3B46"/>
    <w:rsid w:val="003C68D6"/>
    <w:rsid w:val="003D4203"/>
    <w:rsid w:val="003F187E"/>
    <w:rsid w:val="00400253"/>
    <w:rsid w:val="00415D24"/>
    <w:rsid w:val="00416B94"/>
    <w:rsid w:val="00423437"/>
    <w:rsid w:val="00445FAC"/>
    <w:rsid w:val="004464B9"/>
    <w:rsid w:val="0046648E"/>
    <w:rsid w:val="004B06D0"/>
    <w:rsid w:val="004C31FB"/>
    <w:rsid w:val="004F7387"/>
    <w:rsid w:val="00512E3B"/>
    <w:rsid w:val="0053432D"/>
    <w:rsid w:val="00535D95"/>
    <w:rsid w:val="00547688"/>
    <w:rsid w:val="00572B11"/>
    <w:rsid w:val="005731EE"/>
    <w:rsid w:val="005820CD"/>
    <w:rsid w:val="00582ED4"/>
    <w:rsid w:val="0059149E"/>
    <w:rsid w:val="005A0608"/>
    <w:rsid w:val="005A5F6C"/>
    <w:rsid w:val="005B4EF4"/>
    <w:rsid w:val="005C3D2A"/>
    <w:rsid w:val="00605942"/>
    <w:rsid w:val="00606B54"/>
    <w:rsid w:val="00613300"/>
    <w:rsid w:val="00655A78"/>
    <w:rsid w:val="0066329E"/>
    <w:rsid w:val="006713B6"/>
    <w:rsid w:val="006809A1"/>
    <w:rsid w:val="00691B1C"/>
    <w:rsid w:val="006A297D"/>
    <w:rsid w:val="006B6780"/>
    <w:rsid w:val="006C2964"/>
    <w:rsid w:val="006C2D1E"/>
    <w:rsid w:val="006D6C94"/>
    <w:rsid w:val="006D77E1"/>
    <w:rsid w:val="006E32DD"/>
    <w:rsid w:val="00712785"/>
    <w:rsid w:val="00725BB9"/>
    <w:rsid w:val="00744C03"/>
    <w:rsid w:val="00764B69"/>
    <w:rsid w:val="00772A46"/>
    <w:rsid w:val="00774B2C"/>
    <w:rsid w:val="007D0547"/>
    <w:rsid w:val="00815028"/>
    <w:rsid w:val="00821F0F"/>
    <w:rsid w:val="008361BA"/>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65C71"/>
    <w:rsid w:val="009674B8"/>
    <w:rsid w:val="00967645"/>
    <w:rsid w:val="00973499"/>
    <w:rsid w:val="00977734"/>
    <w:rsid w:val="00981BDC"/>
    <w:rsid w:val="00987F43"/>
    <w:rsid w:val="009A1C80"/>
    <w:rsid w:val="009B339B"/>
    <w:rsid w:val="009B4579"/>
    <w:rsid w:val="009C4385"/>
    <w:rsid w:val="009C4629"/>
    <w:rsid w:val="009D065D"/>
    <w:rsid w:val="009E0370"/>
    <w:rsid w:val="009E4285"/>
    <w:rsid w:val="009E47C5"/>
    <w:rsid w:val="00A0379F"/>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B022F3"/>
    <w:rsid w:val="00B024CE"/>
    <w:rsid w:val="00B110D5"/>
    <w:rsid w:val="00B2207E"/>
    <w:rsid w:val="00B26EAF"/>
    <w:rsid w:val="00B35D21"/>
    <w:rsid w:val="00B4569B"/>
    <w:rsid w:val="00B45F9E"/>
    <w:rsid w:val="00B638B8"/>
    <w:rsid w:val="00B746DB"/>
    <w:rsid w:val="00B8482C"/>
    <w:rsid w:val="00B86C01"/>
    <w:rsid w:val="00BA59B8"/>
    <w:rsid w:val="00BC3E48"/>
    <w:rsid w:val="00BD620D"/>
    <w:rsid w:val="00BE0AC8"/>
    <w:rsid w:val="00BF05AC"/>
    <w:rsid w:val="00BF6517"/>
    <w:rsid w:val="00C008E1"/>
    <w:rsid w:val="00C15E58"/>
    <w:rsid w:val="00C42734"/>
    <w:rsid w:val="00C73040"/>
    <w:rsid w:val="00C73526"/>
    <w:rsid w:val="00C857E1"/>
    <w:rsid w:val="00C97902"/>
    <w:rsid w:val="00CA6E93"/>
    <w:rsid w:val="00CC3F83"/>
    <w:rsid w:val="00CD046E"/>
    <w:rsid w:val="00CD04D1"/>
    <w:rsid w:val="00CE558A"/>
    <w:rsid w:val="00CE576F"/>
    <w:rsid w:val="00CF38BD"/>
    <w:rsid w:val="00D00E35"/>
    <w:rsid w:val="00D063C2"/>
    <w:rsid w:val="00D25CFA"/>
    <w:rsid w:val="00D27B19"/>
    <w:rsid w:val="00D32078"/>
    <w:rsid w:val="00D34D77"/>
    <w:rsid w:val="00D40EDE"/>
    <w:rsid w:val="00D52D60"/>
    <w:rsid w:val="00D53282"/>
    <w:rsid w:val="00D60DD8"/>
    <w:rsid w:val="00D96538"/>
    <w:rsid w:val="00DD009A"/>
    <w:rsid w:val="00DE623D"/>
    <w:rsid w:val="00DF2734"/>
    <w:rsid w:val="00E17CF9"/>
    <w:rsid w:val="00E37566"/>
    <w:rsid w:val="00E44526"/>
    <w:rsid w:val="00E4470F"/>
    <w:rsid w:val="00E536B4"/>
    <w:rsid w:val="00E56434"/>
    <w:rsid w:val="00E61B78"/>
    <w:rsid w:val="00E63202"/>
    <w:rsid w:val="00E6396D"/>
    <w:rsid w:val="00E65D0B"/>
    <w:rsid w:val="00E8757C"/>
    <w:rsid w:val="00E96ED2"/>
    <w:rsid w:val="00EB786E"/>
    <w:rsid w:val="00ED4557"/>
    <w:rsid w:val="00EF68CC"/>
    <w:rsid w:val="00F01441"/>
    <w:rsid w:val="00F12779"/>
    <w:rsid w:val="00F241BE"/>
    <w:rsid w:val="00F42E96"/>
    <w:rsid w:val="00F45D8F"/>
    <w:rsid w:val="00F47E1B"/>
    <w:rsid w:val="00F6094C"/>
    <w:rsid w:val="00F63C84"/>
    <w:rsid w:val="00F6601B"/>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8507D2"/>
    <w:rsid w:val="10D41ECD"/>
    <w:rsid w:val="122F4414"/>
    <w:rsid w:val="13C87763"/>
    <w:rsid w:val="140D78FD"/>
    <w:rsid w:val="14577D79"/>
    <w:rsid w:val="160F643B"/>
    <w:rsid w:val="173A0B9F"/>
    <w:rsid w:val="178D60F1"/>
    <w:rsid w:val="1A6F6065"/>
    <w:rsid w:val="1B7958AB"/>
    <w:rsid w:val="1C6F231F"/>
    <w:rsid w:val="1CF1658E"/>
    <w:rsid w:val="1DD6709A"/>
    <w:rsid w:val="1DF66C62"/>
    <w:rsid w:val="1EB82DBD"/>
    <w:rsid w:val="20236BC9"/>
    <w:rsid w:val="226E5FB0"/>
    <w:rsid w:val="22D9249A"/>
    <w:rsid w:val="23642402"/>
    <w:rsid w:val="23BD7294"/>
    <w:rsid w:val="252426D8"/>
    <w:rsid w:val="25EF5A2A"/>
    <w:rsid w:val="27FE017E"/>
    <w:rsid w:val="29C8779B"/>
    <w:rsid w:val="2A5E6B93"/>
    <w:rsid w:val="2AB77F26"/>
    <w:rsid w:val="2C802D53"/>
    <w:rsid w:val="2CF50B5E"/>
    <w:rsid w:val="2D6169F1"/>
    <w:rsid w:val="2D7E0058"/>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E139A8"/>
    <w:rsid w:val="4EAF49F0"/>
    <w:rsid w:val="4F2C72D6"/>
    <w:rsid w:val="4FB13DF0"/>
    <w:rsid w:val="516350CC"/>
    <w:rsid w:val="51D018CD"/>
    <w:rsid w:val="52AD13A1"/>
    <w:rsid w:val="54FC7EA1"/>
    <w:rsid w:val="551E7EF9"/>
    <w:rsid w:val="553F3A87"/>
    <w:rsid w:val="5A8B5360"/>
    <w:rsid w:val="5B011FE8"/>
    <w:rsid w:val="5BA96B8F"/>
    <w:rsid w:val="5DFB1A27"/>
    <w:rsid w:val="5EEA249E"/>
    <w:rsid w:val="60162957"/>
    <w:rsid w:val="63B77101"/>
    <w:rsid w:val="63C055E5"/>
    <w:rsid w:val="64542724"/>
    <w:rsid w:val="64B8599E"/>
    <w:rsid w:val="65D16716"/>
    <w:rsid w:val="662F6B85"/>
    <w:rsid w:val="668D62D2"/>
    <w:rsid w:val="677C3439"/>
    <w:rsid w:val="67A810B6"/>
    <w:rsid w:val="6A531AA4"/>
    <w:rsid w:val="6BFE36FE"/>
    <w:rsid w:val="6D494650"/>
    <w:rsid w:val="6E697A4D"/>
    <w:rsid w:val="6EB477FF"/>
    <w:rsid w:val="6ECE6D2C"/>
    <w:rsid w:val="715E18E4"/>
    <w:rsid w:val="72EF6FF9"/>
    <w:rsid w:val="72F445F1"/>
    <w:rsid w:val="74B60C45"/>
    <w:rsid w:val="758C735C"/>
    <w:rsid w:val="75D15B36"/>
    <w:rsid w:val="75E20A2D"/>
    <w:rsid w:val="75EF2CA3"/>
    <w:rsid w:val="77172F31"/>
    <w:rsid w:val="77A47940"/>
    <w:rsid w:val="790D5D06"/>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uiPriority w:val="0"/>
    <w:rPr>
      <w:rFonts w:ascii="仿宋_GB2312" w:eastAsia="仿宋_GB2312"/>
      <w:kern w:val="2"/>
      <w:sz w:val="32"/>
      <w:szCs w:val="24"/>
    </w:rPr>
  </w:style>
  <w:style w:type="character" w:customStyle="1" w:styleId="18">
    <w:name w:val="正文文本 Char"/>
    <w:basedOn w:val="12"/>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uiPriority w:val="0"/>
    <w:rPr>
      <w:kern w:val="2"/>
      <w:sz w:val="21"/>
      <w:szCs w:val="21"/>
    </w:rPr>
  </w:style>
  <w:style w:type="character" w:customStyle="1" w:styleId="21">
    <w:name w:val="批注框文本 Char"/>
    <w:basedOn w:val="12"/>
    <w:link w:val="7"/>
    <w:uiPriority w:val="0"/>
    <w:rPr>
      <w:kern w:val="2"/>
      <w:sz w:val="18"/>
      <w:szCs w:val="18"/>
    </w:rPr>
  </w:style>
  <w:style w:type="character" w:customStyle="1" w:styleId="22">
    <w:name w:val="纯文本 Char"/>
    <w:link w:val="6"/>
    <w:qFormat/>
    <w:uiPriority w:val="0"/>
    <w:rPr>
      <w:rFonts w:ascii="宋体"/>
      <w:szCs w:val="24"/>
    </w:rPr>
  </w:style>
  <w:style w:type="character" w:customStyle="1" w:styleId="23">
    <w:name w:val="纯文本 Char1"/>
    <w:basedOn w:val="12"/>
    <w:link w:val="6"/>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36AD8-5CE3-4195-9942-6CC5B8A3EEB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1067</Words>
  <Characters>6087</Characters>
  <Lines>50</Lines>
  <Paragraphs>14</Paragraphs>
  <TotalTime>169</TotalTime>
  <ScaleCrop>false</ScaleCrop>
  <LinksUpToDate>false</LinksUpToDate>
  <CharactersWithSpaces>7140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2020-06-03T13:12:00Z</dcterms:created>
  <dc:creator>User</dc:creator>
  <cp:lastModifiedBy>zhangyuhang</cp:lastModifiedBy>
  <cp:lastPrinted>2020-07-01T01:46:41Z</cp:lastPrinted>
  <dcterms:modified xsi:type="dcterms:W3CDTF">2020-07-01T01:51:37Z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