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center"/>
        <w:rPr>
          <w:rFonts w:hint="eastAsia" w:ascii=".PingFangSC-Medium" w:eastAsia=".PingFangSC-Medium" w:cs=".PingFangSC-Medium"/>
          <w:b/>
          <w:color w:val="353535"/>
          <w:kern w:val="0"/>
          <w:sz w:val="36"/>
          <w:szCs w:val="36"/>
          <w:lang w:val="en-US" w:eastAsia="zh-CN"/>
        </w:rPr>
      </w:pPr>
      <w:r>
        <w:rPr>
          <w:rFonts w:hint="eastAsia" w:ascii=".PingFangSC-Medium" w:eastAsia=".PingFangSC-Medium" w:cs=".PingFangSC-Medium"/>
          <w:b/>
          <w:color w:val="353535"/>
          <w:kern w:val="0"/>
          <w:sz w:val="36"/>
          <w:szCs w:val="36"/>
          <w:lang w:val="en-US" w:eastAsia="zh-CN"/>
        </w:rPr>
        <w:t>昆明信息港“暖春置业计划”公益活动邀请函</w:t>
      </w:r>
    </w:p>
    <w:p>
      <w:pPr>
        <w:widowControl/>
        <w:autoSpaceDE w:val="0"/>
        <w:autoSpaceDN w:val="0"/>
        <w:adjustRightInd w:val="0"/>
        <w:jc w:val="center"/>
        <w:rPr>
          <w:rFonts w:hint="default" w:ascii=".PingFangSC-Medium" w:eastAsia=".PingFangSC-Medium" w:cs=".PingFangSC-Medium"/>
          <w:b/>
          <w:color w:val="353535"/>
          <w:kern w:val="0"/>
          <w:sz w:val="36"/>
          <w:szCs w:val="36"/>
          <w:lang w:val="en-US" w:eastAsia="zh-CN"/>
        </w:rPr>
      </w:pPr>
    </w:p>
    <w:p>
      <w:pPr>
        <w:widowControl/>
        <w:autoSpaceDE w:val="0"/>
        <w:autoSpaceDN w:val="0"/>
        <w:adjustRightInd w:val="0"/>
        <w:ind w:firstLine="480" w:firstLineChars="200"/>
        <w:jc w:val="both"/>
        <w:rPr>
          <w:rFonts w:hint="default" w:ascii=".PingFangSC-Regular" w:hAnsi="AppleSystemUIFont" w:eastAsia=".PingFangSC-Regular" w:cs=".PingFangSC-Regular"/>
          <w:color w:val="353535"/>
          <w:kern w:val="0"/>
          <w:u w:val="single"/>
          <w:lang w:val="en-US" w:eastAsia="zh-CN"/>
        </w:rPr>
      </w:pPr>
      <w:r>
        <w:rPr>
          <w:rFonts w:hint="eastAsia" w:ascii=".PingFangSC-Regular" w:hAnsi="AppleSystemUIFont" w:eastAsia=".PingFangSC-Regular" w:cs=".PingFangSC-Regular"/>
          <w:color w:val="353535"/>
          <w:kern w:val="0"/>
          <w:u w:val="single"/>
          <w:lang w:val="en-US" w:eastAsia="zh-CN"/>
        </w:rPr>
        <w:t xml:space="preserve">                  ：</w:t>
      </w:r>
    </w:p>
    <w:p>
      <w:pPr>
        <w:widowControl/>
        <w:autoSpaceDE w:val="0"/>
        <w:autoSpaceDN w:val="0"/>
        <w:adjustRightInd w:val="0"/>
        <w:ind w:firstLine="560" w:firstLineChars="200"/>
        <w:jc w:val="both"/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  <w:t>在2019年回暖的楼市，随着一场疫情的爆发，再次陷入寒冬。而相对全社会影响最大的第三产业，疫情对房地产经济的影响仅仅是短期冲击。通过第一季度的缓冲，随经济复苏而来的楼市回暖指日可待。相信在暖春时节，新一阶段的房地产经济将迎来全新的井喷期。</w:t>
      </w:r>
    </w:p>
    <w:p>
      <w:pPr>
        <w:widowControl/>
        <w:autoSpaceDE w:val="0"/>
        <w:autoSpaceDN w:val="0"/>
        <w:adjustRightInd w:val="0"/>
        <w:ind w:firstLine="560" w:firstLineChars="200"/>
        <w:jc w:val="both"/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  <w:t>一场疫情，让“宅”重新回归它的本质。人们对美好生活的向往，更是与居所密不可分。可以预见，疫情所触发的对生活、对理想、对更远人生目标的思考，会更加重释“健康”、“安居”、“乐业”等要义。而这些，归根于家、归根于宅，择一品质楼盘、拥有一处康养之所而居，会是更多人为之向往的心愿。</w:t>
      </w:r>
    </w:p>
    <w:p>
      <w:pPr>
        <w:widowControl/>
        <w:autoSpaceDE w:val="0"/>
        <w:autoSpaceDN w:val="0"/>
        <w:adjustRightInd w:val="0"/>
        <w:ind w:firstLine="560" w:firstLineChars="200"/>
        <w:jc w:val="both"/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云南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  <w:t>是康养胜地。许多品质地产项目、文旅置业项目落地开</w:t>
      </w: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花，</w:t>
      </w:r>
      <w:bookmarkStart w:id="0" w:name="_GoBack"/>
      <w:bookmarkEnd w:id="0"/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  <w:t>随着疫情逐渐过去，地产经济也会伴随着春暖花开时节，逐渐走向暖春。昆明信息港将聚焦民生关注，联合各大地产商推出“暖春置业计划”公益活动，主要为购房者精选出一批优秀的经典楼盘项目，甄选各地产商即将开盘或在售的楼盘，从区位、景观、配套等多个维度进行评估，并进行全媒体宣传推介。</w:t>
      </w:r>
    </w:p>
    <w:p>
      <w:pPr>
        <w:widowControl/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353535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</w:rPr>
        <w:t>活动主题：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  <w:t>暖春置业计划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  <w:t>公益活动（</w:t>
      </w: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副题：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</w:rPr>
        <w:t>往后余生，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val="en-US" w:eastAsia="zh-CN"/>
        </w:rPr>
        <w:t>我们就住在这里吧）</w:t>
      </w:r>
    </w:p>
    <w:p>
      <w:pPr>
        <w:widowControl/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仿宋" w:hAnsi="仿宋" w:eastAsia="仿宋" w:cs="仿宋"/>
          <w:b w:val="0"/>
          <w:bCs w:val="0"/>
          <w:color w:val="353535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</w:rPr>
        <w:t>活动内容：</w:t>
      </w:r>
      <w:r>
        <w:rPr>
          <w:rFonts w:hint="default" w:ascii="仿宋" w:hAnsi="仿宋" w:eastAsia="仿宋" w:cs="仿宋"/>
          <w:b w:val="0"/>
          <w:bCs w:val="0"/>
          <w:color w:val="353535"/>
          <w:kern w:val="0"/>
          <w:sz w:val="28"/>
          <w:szCs w:val="28"/>
        </w:rPr>
        <w:t>邀请在滇各房企推荐即将开盘或在售的优质项目，对各家推荐的项目/楼盘结合活动主题进行全网推介。</w:t>
      </w:r>
    </w:p>
    <w:p>
      <w:pPr>
        <w:widowControl/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</w:rPr>
        <w:t>活动形式：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default" w:ascii="仿宋" w:hAnsi="仿宋" w:eastAsia="仿宋" w:cs="仿宋"/>
          <w:color w:val="353535"/>
          <w:kern w:val="0"/>
          <w:sz w:val="28"/>
          <w:szCs w:val="28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</w:rPr>
        <w:t>邀请房企自荐，同时填写自荐表；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353535"/>
          <w:kern w:val="0"/>
          <w:sz w:val="28"/>
          <w:szCs w:val="28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</w:rPr>
        <w:t>联合在滇专业媒体评估推荐；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353535"/>
          <w:kern w:val="0"/>
          <w:sz w:val="28"/>
          <w:szCs w:val="28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组织网上评选，邀请网友评选；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353535"/>
          <w:kern w:val="0"/>
          <w:sz w:val="28"/>
          <w:szCs w:val="28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通过以上三种方式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</w:rPr>
        <w:t>筛选</w:t>
      </w:r>
      <w:r>
        <w:rPr>
          <w:rFonts w:hint="default" w:ascii="仿宋" w:hAnsi="仿宋" w:eastAsia="仿宋" w:cs="仿宋"/>
          <w:color w:val="353535"/>
          <w:kern w:val="0"/>
          <w:sz w:val="28"/>
          <w:szCs w:val="28"/>
        </w:rPr>
        <w:t>出符合主题的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</w:rPr>
        <w:t>楼盘</w:t>
      </w:r>
      <w:r>
        <w:rPr>
          <w:rFonts w:hint="default" w:ascii="仿宋" w:hAnsi="仿宋" w:eastAsia="仿宋" w:cs="仿宋"/>
          <w:color w:val="353535"/>
          <w:kern w:val="0"/>
          <w:sz w:val="28"/>
          <w:szCs w:val="28"/>
        </w:rPr>
        <w:t>项目，进行对外宣传、推广</w:t>
      </w:r>
      <w:r>
        <w:rPr>
          <w:rFonts w:hint="eastAsia" w:ascii="仿宋" w:hAnsi="仿宋" w:eastAsia="仿宋" w:cs="仿宋"/>
          <w:color w:val="353535"/>
          <w:kern w:val="0"/>
          <w:sz w:val="28"/>
          <w:szCs w:val="28"/>
        </w:rPr>
        <w:t>。</w:t>
      </w:r>
    </w:p>
    <w:p>
      <w:pPr>
        <w:widowControl/>
        <w:autoSpaceDE w:val="0"/>
        <w:autoSpaceDN w:val="0"/>
        <w:adjustRightInd w:val="0"/>
        <w:jc w:val="left"/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</w:rPr>
        <w:t>四、宣传</w:t>
      </w:r>
      <w:r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  <w:lang w:val="en-US" w:eastAsia="zh-CN"/>
        </w:rPr>
        <w:t>推介</w:t>
      </w:r>
      <w:r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</w:rPr>
        <w:t>形式：</w:t>
      </w:r>
    </w:p>
    <w:p>
      <w:pPr>
        <w:widowControl/>
        <w:autoSpaceDE w:val="0"/>
        <w:autoSpaceDN w:val="0"/>
        <w:adjustRightInd w:val="0"/>
        <w:jc w:val="left"/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53535"/>
          <w:kern w:val="0"/>
          <w:sz w:val="28"/>
          <w:szCs w:val="28"/>
          <w:lang w:eastAsia="zh-CN"/>
        </w:rPr>
        <w:t>（一）项目出品</w:t>
      </w: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方</w:t>
      </w:r>
    </w:p>
    <w:p>
      <w:pPr>
        <w:widowControl/>
        <w:autoSpaceDE w:val="0"/>
        <w:autoSpaceDN w:val="0"/>
        <w:adjustRightInd w:val="0"/>
        <w:jc w:val="left"/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1、采写新闻稿件，在昆港以及优势平台（昆港微信公众号、昆港微博头条号、搜狐号，包含但不限于以上渠道）进行外推；</w:t>
      </w:r>
    </w:p>
    <w:p>
      <w:pPr>
        <w:widowControl/>
        <w:autoSpaceDE w:val="0"/>
        <w:autoSpaceDN w:val="0"/>
        <w:adjustRightInd w:val="0"/>
        <w:jc w:val="left"/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2、整合入选项目，制作图文、视频相结合的网络专题，优势渠道外推该专题；</w:t>
      </w:r>
    </w:p>
    <w:p>
      <w:pPr>
        <w:widowControl/>
        <w:autoSpaceDE w:val="0"/>
        <w:autoSpaceDN w:val="0"/>
        <w:adjustRightInd w:val="0"/>
        <w:jc w:val="left"/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3、制作“项目简介”长图在微信朋友圈、微信公众号等渠道推介；</w:t>
      </w:r>
    </w:p>
    <w:p>
      <w:pPr>
        <w:widowControl/>
        <w:autoSpaceDE w:val="0"/>
        <w:autoSpaceDN w:val="0"/>
        <w:adjustRightInd w:val="0"/>
        <w:jc w:val="left"/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4、制作海报新闻在微信朋友圈等渠道外推；</w:t>
      </w:r>
    </w:p>
    <w:p>
      <w:pPr>
        <w:widowControl/>
        <w:autoSpaceDE w:val="0"/>
        <w:autoSpaceDN w:val="0"/>
        <w:adjustRightInd w:val="0"/>
        <w:jc w:val="left"/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5、制作10秒短视频（以项目展示、职业顾问、项目总为推荐的视频内容）在各大视频外推；</w:t>
      </w:r>
    </w:p>
    <w:p>
      <w:pPr>
        <w:widowControl/>
        <w:autoSpaceDE w:val="0"/>
        <w:autoSpaceDN w:val="0"/>
        <w:adjustRightInd w:val="0"/>
        <w:jc w:val="left"/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（二）联合媒体外推稿件、长图、海报新闻与短视频；</w:t>
      </w:r>
    </w:p>
    <w:p>
      <w:pPr>
        <w:widowControl/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353535"/>
          <w:kern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color w:val="353535"/>
          <w:kern w:val="0"/>
          <w:sz w:val="28"/>
          <w:szCs w:val="28"/>
          <w:lang w:eastAsia="zh-CN"/>
        </w:rPr>
        <w:t>（三）对接政府相关部门，在专业评选时，对入选项目进行媒体推荐。</w:t>
      </w:r>
    </w:p>
    <w:p>
      <w:pPr>
        <w:rPr>
          <w:rFonts w:hint="eastAsia" w:ascii="仿宋" w:hAnsi="仿宋" w:eastAsia="仿宋" w:cs="仿宋"/>
          <w:color w:val="353535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53535"/>
          <w:kern w:val="0"/>
          <w:sz w:val="28"/>
          <w:szCs w:val="28"/>
        </w:rPr>
        <w:t>五、</w:t>
      </w:r>
      <w:r>
        <w:rPr>
          <w:rFonts w:hint="eastAsia" w:ascii="仿宋" w:hAnsi="仿宋" w:eastAsia="仿宋" w:cs="仿宋"/>
          <w:b/>
          <w:color w:val="353535"/>
          <w:kern w:val="0"/>
          <w:sz w:val="28"/>
          <w:szCs w:val="28"/>
          <w:lang w:val="en-US" w:eastAsia="zh-CN"/>
        </w:rPr>
        <w:t>活动报名表</w:t>
      </w:r>
    </w:p>
    <w:tbl>
      <w:tblPr>
        <w:tblStyle w:val="4"/>
        <w:tblW w:w="7792" w:type="dxa"/>
        <w:tblInd w:w="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649"/>
        <w:gridCol w:w="2428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5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序号</w:t>
            </w:r>
          </w:p>
        </w:tc>
        <w:tc>
          <w:tcPr>
            <w:tcW w:w="264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类目</w:t>
            </w:r>
          </w:p>
        </w:tc>
        <w:tc>
          <w:tcPr>
            <w:tcW w:w="242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简述</w:t>
            </w:r>
          </w:p>
        </w:tc>
        <w:tc>
          <w:tcPr>
            <w:tcW w:w="220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关键词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（三至五个）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3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  <w:color w:val="FF000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FF0000"/>
                <w:shd w:val="clear" w:color="auto" w:fill="auto"/>
              </w:rPr>
              <w:t>3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color w:val="FF000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FF0000"/>
                <w:shd w:val="clear" w:color="auto" w:fill="auto"/>
              </w:rPr>
              <w:t>择居理由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FF0000"/>
                <w:shd w:val="clear" w:color="auto" w:fill="auto"/>
              </w:rPr>
              <w:t>（符合主题的推荐语）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所属品牌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3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均价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  <w:color w:val="A6A6A6" w:themeColor="background1" w:themeShade="A6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</w:rPr>
              <w:t>例：尚未公布/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</w:rPr>
              <w:t>或填约9146元/平米</w:t>
            </w: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楼盘地址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开盘时间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交房时间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户型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  <w:color w:val="A6A6A6" w:themeColor="background1" w:themeShade="A6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</w:rPr>
              <w:t>例：二居室(63~107㎡)　低密度住宅(63~100㎡)……</w:t>
            </w: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建筑类型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  <w:color w:val="A6A6A6" w:themeColor="background1" w:themeShade="A6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</w:rPr>
              <w:t>例：商业、低密度住宅</w:t>
            </w:r>
          </w:p>
          <w:p>
            <w:pPr>
              <w:rPr>
                <w:rFonts w:hint="eastAsia" w:ascii="仿宋" w:hAnsi="仿宋" w:eastAsia="仿宋" w:cs="仿宋"/>
                <w:color w:val="A6A6A6" w:themeColor="background1" w:themeShade="A6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项目介绍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（字数在150字以内）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楼盘图片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</w:rPr>
              <w:t>楼盘规划图、设计图、实景图、户型图；</w:t>
            </w: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①共计需提供5-8张；</w:t>
            </w:r>
          </w:p>
          <w:p>
            <w:pPr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②图片每张像素不小于5M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③邮件至</w:t>
            </w:r>
            <w:r>
              <w:rPr>
                <w:rFonts w:hint="default" w:ascii="仿宋" w:hAnsi="仿宋" w:eastAsia="仿宋" w:cs="仿宋"/>
                <w:color w:val="FF0000"/>
              </w:rPr>
              <w:t>记者</w:t>
            </w:r>
            <w:r>
              <w:rPr>
                <w:rFonts w:hint="eastAsia" w:ascii="仿宋" w:hAnsi="仿宋" w:eastAsia="仿宋" w:cs="仿宋"/>
                <w:color w:val="FF000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atLeast"/>
        </w:trPr>
        <w:tc>
          <w:tcPr>
            <w:tcW w:w="512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</w:t>
            </w:r>
          </w:p>
        </w:tc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推荐人联系方式（电话、邮箱、微信号都需填写）</w:t>
            </w:r>
          </w:p>
        </w:tc>
        <w:tc>
          <w:tcPr>
            <w:tcW w:w="242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ind w:firstLine="3780" w:firstLineChars="13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昆明信息港传媒有限责任公司</w:t>
      </w:r>
    </w:p>
    <w:p>
      <w:pPr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2020年2月14日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联系记者：张薇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联系方式：18987755001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联系邮箱：1828422806@qq.com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PingFangSC-Medium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ppleSystemUIFontBold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SC-Regular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.PingFangSC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19B56"/>
    <w:multiLevelType w:val="singleLevel"/>
    <w:tmpl w:val="D4719B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4601DD"/>
    <w:multiLevelType w:val="singleLevel"/>
    <w:tmpl w:val="5E4601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AB"/>
    <w:rsid w:val="00074F11"/>
    <w:rsid w:val="003564EA"/>
    <w:rsid w:val="003F2AA7"/>
    <w:rsid w:val="003F3DAB"/>
    <w:rsid w:val="00416BF7"/>
    <w:rsid w:val="007E045F"/>
    <w:rsid w:val="00A06E22"/>
    <w:rsid w:val="00B66A25"/>
    <w:rsid w:val="00DF249D"/>
    <w:rsid w:val="00EC625C"/>
    <w:rsid w:val="00EE0CB3"/>
    <w:rsid w:val="00F16E6E"/>
    <w:rsid w:val="37FF4793"/>
    <w:rsid w:val="57F72A74"/>
    <w:rsid w:val="62157C51"/>
    <w:rsid w:val="7DEE8291"/>
    <w:rsid w:val="7FDDC2FF"/>
    <w:rsid w:val="A79FD3ED"/>
    <w:rsid w:val="BF9F0E38"/>
    <w:rsid w:val="CF6F63BC"/>
    <w:rsid w:val="D7FFCAA6"/>
    <w:rsid w:val="DF3B5A33"/>
    <w:rsid w:val="DFD3BC0B"/>
    <w:rsid w:val="EC479F8D"/>
    <w:rsid w:val="FFFF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656</Characters>
  <Lines>5</Lines>
  <Paragraphs>1</Paragraphs>
  <ScaleCrop>false</ScaleCrop>
  <LinksUpToDate>false</LinksUpToDate>
  <CharactersWithSpaces>770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2020-02-13T17:07:00Z</dcterms:created>
  <dc:creator>User</dc:creator>
  <cp:lastModifiedBy>zxy</cp:lastModifiedBy>
  <dcterms:modified xsi:type="dcterms:W3CDTF">2020-02-14T11:31:22Z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